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spacing w:before="58"/>
        <w:ind/>
        <w:jc w:val="center"/>
        <w:rPr>
          <w:rStyle w:val="Style_2_ch"/>
          <w:rFonts w:ascii="Circe" w:hAnsi="Circe"/>
          <w:sz w:val="24"/>
        </w:rPr>
      </w:pPr>
      <w:r>
        <w:rPr>
          <w:rStyle w:val="Style_2_ch"/>
          <w:rFonts w:ascii="Circe" w:hAnsi="Circe"/>
          <w:sz w:val="24"/>
        </w:rPr>
        <w:t xml:space="preserve">ПРОГРАММА ИНФОРМАЦИОННОГО СЕМИНАРА </w:t>
      </w:r>
    </w:p>
    <w:p w14:paraId="02000000">
      <w:pPr>
        <w:pStyle w:val="Style_3"/>
        <w:spacing w:after="0" w:before="0" w:line="288" w:lineRule="auto"/>
        <w:ind/>
        <w:rPr>
          <w:rFonts w:ascii="Georgia" w:hAnsi="Georgia"/>
          <w:b w:val="1"/>
        </w:rPr>
      </w:pPr>
    </w:p>
    <w:p w14:paraId="03000000">
      <w:pPr>
        <w:pStyle w:val="Style_4"/>
        <w:widowControl w:val="1"/>
        <w:tabs>
          <w:tab w:leader="none" w:pos="7099" w:val="left"/>
        </w:tabs>
        <w:spacing w:before="34"/>
        <w:ind/>
        <w:jc w:val="center"/>
        <w:rPr>
          <w:rFonts w:ascii="Circe" w:hAnsi="Circe"/>
          <w:b w:val="1"/>
        </w:rPr>
      </w:pPr>
      <w:r>
        <w:rPr>
          <w:rFonts w:ascii="Circe" w:hAnsi="Circe"/>
          <w:b w:val="1"/>
        </w:rPr>
        <w:t xml:space="preserve">«НОВЫЕ ТРЕБОВАНИЯ К ЗАКУПОЧНОЙ ДЕЯТЕЛЬНОСТИ И ПОРЯДОК УЧАСТИЯ ПОСТАВЩИКОВ </w:t>
      </w:r>
    </w:p>
    <w:p w14:paraId="04000000">
      <w:pPr>
        <w:pStyle w:val="Style_4"/>
        <w:widowControl w:val="1"/>
        <w:tabs>
          <w:tab w:leader="none" w:pos="7099" w:val="left"/>
        </w:tabs>
        <w:spacing w:before="34"/>
        <w:ind/>
        <w:jc w:val="center"/>
        <w:rPr>
          <w:rFonts w:ascii="Circe" w:hAnsi="Circe"/>
          <w:b w:val="1"/>
        </w:rPr>
      </w:pPr>
      <w:r>
        <w:rPr>
          <w:rFonts w:ascii="Circe" w:hAnsi="Circe"/>
          <w:b w:val="1"/>
        </w:rPr>
        <w:t xml:space="preserve">В СООТВЕТСТВИИ С ФЕДЕРАЛЬНЫМ ЗАКОНОМ № 223-ФЗ ОТ 18 ИЮЛЯ 2011 ГОДА </w:t>
      </w:r>
    </w:p>
    <w:p w14:paraId="05000000">
      <w:pPr>
        <w:pStyle w:val="Style_4"/>
        <w:widowControl w:val="1"/>
        <w:tabs>
          <w:tab w:leader="none" w:pos="7099" w:val="left"/>
        </w:tabs>
        <w:spacing w:before="34"/>
        <w:ind/>
        <w:jc w:val="center"/>
        <w:rPr>
          <w:rFonts w:ascii="Circe" w:hAnsi="Circe"/>
          <w:b w:val="1"/>
        </w:rPr>
      </w:pPr>
      <w:r>
        <w:rPr>
          <w:rFonts w:ascii="Circe" w:hAnsi="Circe"/>
          <w:b w:val="1"/>
        </w:rPr>
        <w:t>«О ЗАКУПКАХ ТОВАРОВ, РАБОТ, УСЛУГ ОТДЕЛЬНЫМИ ВИДАМИ ЮРИДИЧЕСКИХ ЛИЦ»</w:t>
      </w:r>
    </w:p>
    <w:p w14:paraId="06000000">
      <w:pPr>
        <w:pStyle w:val="Style_4"/>
        <w:widowControl w:val="1"/>
        <w:tabs>
          <w:tab w:leader="none" w:pos="7099" w:val="left"/>
        </w:tabs>
        <w:spacing w:before="34"/>
        <w:ind/>
        <w:jc w:val="center"/>
        <w:rPr>
          <w:rFonts w:ascii="Circe" w:hAnsi="Circe"/>
          <w:b w:val="1"/>
        </w:rPr>
      </w:pPr>
    </w:p>
    <w:p w14:paraId="07000000">
      <w:pPr>
        <w:pStyle w:val="Style_4"/>
        <w:widowControl w:val="1"/>
        <w:tabs>
          <w:tab w:leader="none" w:pos="7099" w:val="left"/>
        </w:tabs>
        <w:spacing w:before="34"/>
        <w:ind/>
        <w:jc w:val="center"/>
        <w:rPr>
          <w:rStyle w:val="Style_2_ch"/>
        </w:rPr>
      </w:pPr>
      <w:r>
        <w:rPr>
          <w:b w:val="1"/>
          <w:sz w:val="2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7979410</wp:posOffset>
                </wp:positionH>
                <wp:positionV relativeFrom="paragraph">
                  <wp:posOffset>19050</wp:posOffset>
                </wp:positionV>
                <wp:extent cx="1552575" cy="36195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552575" cy="361950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0"/>
                        <a:fillRef idx="1">
                          <a:schemeClr val="lt1"/>
                        </a:fillRef>
                        <a:effectRef idx="0"/>
                        <a:fontRef idx="none"/>
                      </wps:style>
                      <wps:txbx>
                        <w:txbxContent>
                          <w:p w14:paraId="08000000">
                            <w:pPr>
                              <w:pStyle w:val="Style_5"/>
                              <w:ind/>
                              <w:jc w:val="center"/>
                              <w:rPr>
                                <w:rFonts w:ascii="Circe" w:hAnsi="Circe"/>
                                <w:b w:val="1"/>
                                <w:color w:themeColor="dark1" w:val="000000"/>
                              </w:rPr>
                            </w:pPr>
                            <w:r>
                              <w:rPr>
                                <w:rFonts w:ascii="Circe" w:hAnsi="Circe"/>
                                <w:b w:val="1"/>
                                <w:color w:themeColor="dark1" w:val="000000"/>
                              </w:rPr>
                              <w:t>МОДУЛЬ 3</w:t>
                            </w:r>
                          </w:p>
                        </w:txbxContent>
                      </wps:txbx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9000000">
      <w:pPr>
        <w:pStyle w:val="Style_4"/>
        <w:widowControl w:val="1"/>
        <w:tabs>
          <w:tab w:leader="none" w:pos="7099" w:val="left"/>
        </w:tabs>
        <w:spacing w:before="34"/>
        <w:ind/>
        <w:rPr>
          <w:rStyle w:val="Style_2_ch"/>
        </w:rPr>
      </w:pPr>
    </w:p>
    <w:p w14:paraId="0A000000">
      <w:pPr>
        <w:pStyle w:val="Style_4"/>
        <w:widowControl w:val="1"/>
        <w:tabs>
          <w:tab w:leader="none" w:pos="7099" w:val="left"/>
        </w:tabs>
        <w:spacing w:before="34"/>
        <w:ind/>
        <w:rPr>
          <w:rStyle w:val="Style_2_ch"/>
        </w:rPr>
      </w:pPr>
    </w:p>
    <w:p w14:paraId="0B000000">
      <w:pPr>
        <w:pStyle w:val="Style_4"/>
        <w:widowControl w:val="1"/>
        <w:tabs>
          <w:tab w:leader="none" w:pos="7099" w:val="left"/>
        </w:tabs>
        <w:spacing w:before="34"/>
        <w:ind/>
        <w:rPr>
          <w:rStyle w:val="Style_2_ch"/>
        </w:rPr>
      </w:pPr>
    </w:p>
    <w:tbl>
      <w:tblPr>
        <w:tblStyle w:val="Style_6"/>
        <w:tblInd w:type="dxa" w:w="-743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8506"/>
        <w:gridCol w:w="7796"/>
      </w:tblGrid>
      <w:tr>
        <w:tc>
          <w:tcPr>
            <w:tcW w:type="dxa" w:w="850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C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  <w:r>
              <w:rPr>
                <w:rStyle w:val="Style_2_ch"/>
                <w:rFonts w:ascii="Circe" w:hAnsi="Circe"/>
                <w:sz w:val="24"/>
              </w:rPr>
              <w:t>Организатор семинара:</w:t>
            </w:r>
          </w:p>
          <w:p w14:paraId="0D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</w:p>
          <w:p w14:paraId="0E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  <w:r>
              <w:rPr>
                <w:rStyle w:val="Style_2_ch"/>
                <w:rFonts w:ascii="Circe" w:hAnsi="Circe"/>
                <w:sz w:val="24"/>
              </w:rPr>
              <w:t>ООО «Специализированная организация-</w:t>
            </w:r>
          </w:p>
          <w:p w14:paraId="0F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  <w:r>
              <w:rPr>
                <w:rStyle w:val="Style_2_ch"/>
                <w:rFonts w:ascii="Circe" w:hAnsi="Circe"/>
                <w:sz w:val="24"/>
              </w:rPr>
              <w:t>АСТ-Консалтинг»</w:t>
            </w:r>
          </w:p>
          <w:p w14:paraId="10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  <w:r>
              <w:rPr>
                <w:rFonts w:ascii="Circe" w:hAnsi="Circe"/>
              </w:rPr>
              <w:drawing>
                <wp:inline>
                  <wp:extent cx="1905000" cy="885192"/>
                  <wp:effectExtent b="0" l="0" r="0" t="0"/>
                  <wp:docPr hidden="false" id="3" name="Picture 3"/>
                  <a:graphic>
                    <a:graphicData uri="http://schemas.openxmlformats.org/drawingml/2006/picture">
                      <pic:pic>
                        <pic:nvPicPr>
                          <pic:cNvPr hidden="false" id="2" name="Picture 2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905000" cy="88519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11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b w:val="0"/>
                <w:sz w:val="24"/>
              </w:rPr>
            </w:pPr>
          </w:p>
          <w:p w14:paraId="12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b w:val="0"/>
                <w:sz w:val="24"/>
              </w:rPr>
            </w:pPr>
            <w:r>
              <w:rPr>
                <w:rStyle w:val="Style_2_ch"/>
                <w:rFonts w:ascii="Circe" w:hAnsi="Circe"/>
                <w:b w:val="0"/>
                <w:sz w:val="24"/>
              </w:rPr>
              <w:t>тел</w:t>
            </w:r>
            <w:r>
              <w:rPr>
                <w:rStyle w:val="Style_2_ch"/>
                <w:rFonts w:ascii="Circe" w:hAnsi="Circe"/>
                <w:b w:val="0"/>
                <w:sz w:val="24"/>
              </w:rPr>
              <w:t xml:space="preserve">.: </w:t>
            </w:r>
            <w:r>
              <w:rPr>
                <w:rStyle w:val="Style_2_ch"/>
                <w:rFonts w:ascii="Circe" w:hAnsi="Circe"/>
                <w:sz w:val="24"/>
              </w:rPr>
              <w:t>8 800 100 45 60</w:t>
            </w:r>
          </w:p>
          <w:p w14:paraId="13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b w:val="0"/>
                <w:sz w:val="24"/>
              </w:rPr>
            </w:pPr>
            <w:r>
              <w:rPr>
                <w:rStyle w:val="Style_2_ch"/>
                <w:rFonts w:ascii="Circe" w:hAnsi="Circe"/>
                <w:b w:val="0"/>
                <w:sz w:val="24"/>
              </w:rPr>
              <w:t xml:space="preserve">e-mail: </w:t>
            </w:r>
            <w:r>
              <w:rPr>
                <w:rStyle w:val="Style_7_ch"/>
                <w:rFonts w:ascii="Circe" w:hAnsi="Circe"/>
              </w:rPr>
              <w:fldChar w:fldCharType="begin"/>
            </w:r>
            <w:r>
              <w:rPr>
                <w:rStyle w:val="Style_7_ch"/>
                <w:rFonts w:ascii="Circe" w:hAnsi="Circe"/>
              </w:rPr>
              <w:instrText>HYPERLINK "mailto:info@ast-consulting.ru"</w:instrText>
            </w:r>
            <w:r>
              <w:rPr>
                <w:rStyle w:val="Style_7_ch"/>
                <w:rFonts w:ascii="Circe" w:hAnsi="Circe"/>
              </w:rPr>
              <w:fldChar w:fldCharType="separate"/>
            </w:r>
            <w:r>
              <w:rPr>
                <w:rStyle w:val="Style_7_ch"/>
                <w:rFonts w:ascii="Circe" w:hAnsi="Circe"/>
              </w:rPr>
              <w:t>info@ast-consulting.ru</w:t>
            </w:r>
            <w:r>
              <w:rPr>
                <w:rStyle w:val="Style_7_ch"/>
                <w:rFonts w:ascii="Circe" w:hAnsi="Circe"/>
              </w:rPr>
              <w:fldChar w:fldCharType="end"/>
            </w:r>
          </w:p>
          <w:p w14:paraId="14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Georgia" w:hAnsi="Georgia"/>
                <w:b w:val="0"/>
                <w:color w:val="0000FF"/>
                <w:sz w:val="24"/>
                <w:u w:val="single"/>
              </w:rPr>
            </w:pPr>
            <w:r>
              <w:rPr>
                <w:rStyle w:val="Style_7_ch"/>
                <w:rFonts w:ascii="Circe" w:hAnsi="Circe"/>
              </w:rPr>
              <w:fldChar w:fldCharType="begin"/>
            </w:r>
            <w:r>
              <w:rPr>
                <w:rStyle w:val="Style_7_ch"/>
                <w:rFonts w:ascii="Circe" w:hAnsi="Circe"/>
              </w:rPr>
              <w:instrText>HYPERLINK "http://www.ast-consulting.ru"</w:instrText>
            </w:r>
            <w:r>
              <w:rPr>
                <w:rStyle w:val="Style_7_ch"/>
                <w:rFonts w:ascii="Circe" w:hAnsi="Circe"/>
              </w:rPr>
              <w:fldChar w:fldCharType="separate"/>
            </w:r>
            <w:r>
              <w:rPr>
                <w:rStyle w:val="Style_7_ch"/>
                <w:rFonts w:ascii="Circe" w:hAnsi="Circe"/>
              </w:rPr>
              <w:t>www</w:t>
            </w:r>
            <w:r>
              <w:rPr>
                <w:rStyle w:val="Style_7_ch"/>
                <w:rFonts w:ascii="Circe" w:hAnsi="Circe"/>
              </w:rPr>
              <w:t>.</w:t>
            </w:r>
            <w:r>
              <w:rPr>
                <w:rStyle w:val="Style_7_ch"/>
                <w:rFonts w:ascii="Circe" w:hAnsi="Circe"/>
              </w:rPr>
              <w:t>ast</w:t>
            </w:r>
            <w:r>
              <w:rPr>
                <w:rStyle w:val="Style_7_ch"/>
                <w:rFonts w:ascii="Circe" w:hAnsi="Circe"/>
              </w:rPr>
              <w:t>-</w:t>
            </w:r>
            <w:r>
              <w:rPr>
                <w:rStyle w:val="Style_7_ch"/>
                <w:rFonts w:ascii="Circe" w:hAnsi="Circe"/>
              </w:rPr>
              <w:t>consulting</w:t>
            </w:r>
            <w:r>
              <w:rPr>
                <w:rStyle w:val="Style_7_ch"/>
                <w:rFonts w:ascii="Circe" w:hAnsi="Circe"/>
              </w:rPr>
              <w:t>.</w:t>
            </w:r>
            <w:r>
              <w:rPr>
                <w:rStyle w:val="Style_7_ch"/>
                <w:rFonts w:ascii="Circe" w:hAnsi="Circe"/>
              </w:rPr>
              <w:t>ru</w:t>
            </w:r>
            <w:r>
              <w:rPr>
                <w:rStyle w:val="Style_7_ch"/>
                <w:rFonts w:ascii="Circe" w:hAnsi="Circe"/>
              </w:rPr>
              <w:fldChar w:fldCharType="end"/>
            </w:r>
          </w:p>
        </w:tc>
        <w:tc>
          <w:tcPr>
            <w:tcW w:type="dxa" w:w="779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5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  <w:r>
              <w:rPr>
                <w:rStyle w:val="Style_2_ch"/>
                <w:rFonts w:ascii="Circe" w:hAnsi="Circe"/>
                <w:sz w:val="24"/>
              </w:rPr>
              <w:t>Лектор семинара:</w:t>
            </w:r>
          </w:p>
          <w:p w14:paraId="16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</w:p>
          <w:p w14:paraId="17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  <w:r>
              <w:rPr>
                <w:rStyle w:val="Style_2_ch"/>
                <w:rFonts w:ascii="Circe" w:hAnsi="Circe"/>
                <w:sz w:val="24"/>
              </w:rPr>
              <w:t>Макаренков Олег Павлович</w:t>
            </w:r>
          </w:p>
          <w:p w14:paraId="18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  <w:r>
              <w:rPr>
                <w:rFonts w:ascii="Circe" w:hAnsi="Circe"/>
              </w:rPr>
              <w:t>Руководитель Фе</w:t>
            </w:r>
            <w:r>
              <w:rPr>
                <w:rFonts w:ascii="Circe" w:hAnsi="Circe"/>
              </w:rPr>
              <w:t>дерального учебного центра «</w:t>
            </w:r>
            <w:r>
              <w:rPr>
                <w:rFonts w:ascii="Circe" w:hAnsi="Circe"/>
              </w:rPr>
              <w:t>СО-</w:t>
            </w:r>
            <w:r>
              <w:rPr>
                <w:rFonts w:ascii="Circe" w:hAnsi="Circe"/>
              </w:rPr>
              <w:t>АСТ-</w:t>
            </w:r>
            <w:r>
              <w:rPr>
                <w:rFonts w:ascii="Circe" w:hAnsi="Circe"/>
              </w:rPr>
              <w:t>Консалтинг»,</w:t>
            </w:r>
          </w:p>
          <w:p w14:paraId="19000000">
            <w:pPr>
              <w:pStyle w:val="Style_8"/>
              <w:widowControl w:val="1"/>
              <w:spacing w:line="240" w:lineRule="auto"/>
              <w:ind/>
              <w:jc w:val="center"/>
              <w:rPr>
                <w:rFonts w:ascii="Circe" w:hAnsi="Circe"/>
              </w:rPr>
            </w:pPr>
            <w:r>
              <w:rPr>
                <w:rFonts w:ascii="Circe" w:hAnsi="Circe"/>
              </w:rPr>
              <w:t>специалист в области  государственного и муниципального заказа, аккредитованный лекто</w:t>
            </w:r>
            <w:r>
              <w:rPr>
                <w:rFonts w:ascii="Circe" w:hAnsi="Circe"/>
              </w:rPr>
              <w:t>р ЭП</w:t>
            </w:r>
            <w:r>
              <w:rPr>
                <w:rFonts w:ascii="Circe" w:hAnsi="Circe"/>
              </w:rPr>
              <w:t>,</w:t>
            </w:r>
          </w:p>
          <w:p w14:paraId="1A000000">
            <w:pPr>
              <w:pStyle w:val="Style_8"/>
              <w:widowControl w:val="1"/>
              <w:spacing w:line="240" w:lineRule="auto"/>
              <w:ind/>
              <w:jc w:val="center"/>
              <w:rPr>
                <w:rStyle w:val="Style_2_ch"/>
                <w:b w:val="0"/>
                <w:sz w:val="23"/>
              </w:rPr>
            </w:pPr>
            <w:r>
              <w:rPr>
                <w:rFonts w:ascii="Circe" w:hAnsi="Circe"/>
              </w:rPr>
              <w:t>кандидат экономических наук</w:t>
            </w:r>
          </w:p>
        </w:tc>
      </w:tr>
    </w:tbl>
    <w:p w14:paraId="1B000000">
      <w:pPr>
        <w:widowControl w:val="1"/>
        <w:spacing w:after="259" w:line="1" w:lineRule="exact"/>
        <w:ind/>
        <w:jc w:val="both"/>
        <w:rPr>
          <w:sz w:val="28"/>
        </w:rPr>
      </w:pPr>
    </w:p>
    <w:tbl>
      <w:tblPr>
        <w:tblStyle w:val="Style_9"/>
        <w:tblInd w:type="dxa" w:w="-811"/>
        <w:tblLayout w:type="fixed"/>
        <w:tblCellMar>
          <w:left w:type="dxa" w:w="40"/>
          <w:right w:type="dxa" w:w="40"/>
        </w:tblCellMar>
      </w:tblPr>
      <w:tblGrid>
        <w:gridCol w:w="1277"/>
        <w:gridCol w:w="14883"/>
      </w:tblGrid>
      <w:tr>
        <w:tc>
          <w:tcPr>
            <w:tcW w:type="dxa" w:w="1616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C000000">
            <w:pPr>
              <w:pStyle w:val="Style_10"/>
              <w:widowControl w:val="1"/>
              <w:spacing w:line="240" w:lineRule="auto"/>
              <w:ind/>
              <w:rPr>
                <w:rStyle w:val="Style_11_ch"/>
              </w:rPr>
            </w:pP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1D00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rFonts w:ascii="Circe" w:hAnsi="Circe"/>
                <w:sz w:val="23"/>
              </w:rPr>
            </w:pPr>
            <w:r>
              <w:rPr>
                <w:rStyle w:val="Style_11_ch"/>
                <w:rFonts w:ascii="Circe" w:hAnsi="Circe"/>
              </w:rPr>
              <w:t xml:space="preserve">   </w:t>
            </w:r>
            <w:r>
              <w:rPr>
                <w:rStyle w:val="Style_11_ch"/>
                <w:rFonts w:ascii="Circe" w:hAnsi="Circe"/>
                <w:sz w:val="23"/>
              </w:rPr>
              <w:t xml:space="preserve"> Время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1E000000">
            <w:pPr>
              <w:pStyle w:val="Style_10"/>
              <w:widowControl w:val="1"/>
              <w:spacing w:line="240" w:lineRule="auto"/>
              <w:ind/>
              <w:jc w:val="center"/>
              <w:rPr>
                <w:rStyle w:val="Style_11_ch"/>
                <w:rFonts w:ascii="Circe" w:hAnsi="Circe"/>
                <w:sz w:val="23"/>
              </w:rPr>
            </w:pPr>
            <w:r>
              <w:rPr>
                <w:rStyle w:val="Style_11_ch"/>
                <w:rFonts w:ascii="Circe" w:hAnsi="Circe"/>
                <w:sz w:val="23"/>
              </w:rPr>
              <w:t>Освещаемые вопросы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40"/>
              <w:right w:type="dxa" w:w="40"/>
            </w:tcMar>
          </w:tcPr>
          <w:p w14:paraId="1F00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09:40-10:00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40"/>
              <w:right w:type="dxa" w:w="40"/>
            </w:tcMar>
          </w:tcPr>
          <w:p w14:paraId="20000000">
            <w:pPr>
              <w:pStyle w:val="Style_8"/>
              <w:widowControl w:val="1"/>
              <w:spacing w:line="240" w:lineRule="auto"/>
              <w:ind/>
              <w:rPr>
                <w:rStyle w:val="Style_12_ch"/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rFonts w:ascii="Circe" w:hAnsi="Circe"/>
                <w:b w:val="1"/>
                <w:sz w:val="23"/>
              </w:rPr>
              <w:t>Регистрация участников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2100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09:40-10:00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22000000">
            <w:pPr>
              <w:pStyle w:val="Style_8"/>
              <w:widowControl w:val="1"/>
              <w:spacing w:line="240" w:lineRule="auto"/>
              <w:ind/>
              <w:rPr>
                <w:rStyle w:val="Style_12_ch"/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rFonts w:ascii="Circe" w:hAnsi="Circe"/>
                <w:b w:val="1"/>
                <w:sz w:val="23"/>
              </w:rPr>
              <w:t>Кофе-брейк</w:t>
            </w:r>
          </w:p>
        </w:tc>
      </w:tr>
      <w:tr>
        <w:trPr>
          <w:trHeight w:hRule="atLeast" w:val="269"/>
        </w:trP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300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10:00-12:00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4000000">
            <w:pPr>
              <w:pStyle w:val="Style_8"/>
              <w:widowControl w:val="1"/>
              <w:spacing w:line="240" w:lineRule="auto"/>
              <w:ind/>
              <w:rPr>
                <w:rStyle w:val="Style_12_ch"/>
                <w:rFonts w:ascii="Circe" w:hAnsi="Circe"/>
                <w:b w:val="1"/>
                <w:sz w:val="23"/>
              </w:rPr>
            </w:pPr>
            <w:r>
              <w:rPr>
                <w:b w:val="1"/>
                <w:sz w:val="22"/>
              </w:rPr>
              <w:t xml:space="preserve"> 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>Обзор законодательства, сфера применения</w:t>
            </w:r>
          </w:p>
          <w:p w14:paraId="25000000">
            <w:pPr>
              <w:pStyle w:val="Style_8"/>
              <w:widowControl w:val="1"/>
              <w:numPr>
                <w:ilvl w:val="0"/>
                <w:numId w:val="1"/>
              </w:numPr>
              <w:spacing w:line="240" w:lineRule="auto"/>
              <w:ind/>
              <w:rPr>
                <w:rStyle w:val="Style_12_ch"/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Федеральный закон от 18 июля 2011 года  №223-ФЗ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Style w:val="Style_12_ch"/>
                <w:rFonts w:ascii="Circe" w:hAnsi="Circe"/>
                <w:sz w:val="23"/>
              </w:rPr>
              <w:t xml:space="preserve">«О закупках товаров, работ, услуг отдельными видами юридических лиц». Основные нормы и правила, сфера применения </w:t>
            </w:r>
          </w:p>
          <w:p w14:paraId="26000000">
            <w:pPr>
              <w:pStyle w:val="Style_8"/>
              <w:widowControl w:val="1"/>
              <w:numPr>
                <w:ilvl w:val="0"/>
                <w:numId w:val="1"/>
              </w:numPr>
              <w:spacing w:line="240" w:lineRule="auto"/>
              <w:ind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 xml:space="preserve">Обзор актуальных изменений, принятых в </w:t>
            </w:r>
            <w:r>
              <w:rPr>
                <w:rStyle w:val="Style_12_ch"/>
                <w:rFonts w:ascii="Circe" w:hAnsi="Circe"/>
                <w:sz w:val="23"/>
              </w:rPr>
              <w:t xml:space="preserve">развитие </w:t>
            </w:r>
            <w:r>
              <w:rPr>
                <w:rStyle w:val="Style_12_ch"/>
                <w:rFonts w:ascii="Circe" w:hAnsi="Circe"/>
                <w:sz w:val="23"/>
              </w:rPr>
              <w:t>№223-ФЗ</w:t>
            </w:r>
          </w:p>
          <w:p w14:paraId="27000000">
            <w:pPr>
              <w:pStyle w:val="Style_8"/>
              <w:widowControl w:val="1"/>
              <w:numPr>
                <w:ilvl w:val="0"/>
                <w:numId w:val="1"/>
              </w:numPr>
              <w:spacing w:line="240" w:lineRule="auto"/>
              <w:ind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Законодательное регулирование закупок: Гражданский кодекс РФ,  Федеральный закон от 26 июля 2006 года № 135-ФЗ  «О защите конкуренции», Федеральный закон от 6 апреля 2011 года № 63-ФЗ «Об электронной подписи»</w:t>
            </w:r>
          </w:p>
          <w:p w14:paraId="28000000">
            <w:pPr>
              <w:pStyle w:val="Style_8"/>
              <w:widowControl w:val="1"/>
              <w:numPr>
                <w:ilvl w:val="0"/>
                <w:numId w:val="1"/>
              </w:numPr>
              <w:spacing w:line="240" w:lineRule="auto"/>
              <w:ind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Обзор</w:t>
            </w:r>
            <w:r>
              <w:rPr>
                <w:rStyle w:val="Style_12_ch"/>
                <w:rFonts w:ascii="Circe" w:hAnsi="Circe"/>
                <w:sz w:val="23"/>
              </w:rPr>
              <w:t>ы</w:t>
            </w:r>
            <w:r>
              <w:rPr>
                <w:rStyle w:val="Style_12_ch"/>
                <w:rFonts w:ascii="Circe" w:hAnsi="Circe"/>
                <w:sz w:val="23"/>
              </w:rPr>
              <w:t xml:space="preserve"> судебной практики по </w:t>
            </w:r>
            <w:r>
              <w:rPr>
                <w:rStyle w:val="Style_12_ch"/>
                <w:rFonts w:ascii="Circe" w:hAnsi="Circe"/>
                <w:sz w:val="23"/>
              </w:rPr>
              <w:t>вопросам</w:t>
            </w:r>
            <w:r>
              <w:rPr>
                <w:rStyle w:val="Style_12_ch"/>
                <w:rFonts w:ascii="Circe" w:hAnsi="Circe"/>
                <w:sz w:val="23"/>
              </w:rPr>
              <w:t xml:space="preserve"> применения 223-ФЗ, утвержденные</w:t>
            </w:r>
            <w:r>
              <w:rPr>
                <w:rStyle w:val="Style_12_ch"/>
                <w:rFonts w:ascii="Circe" w:hAnsi="Circe"/>
                <w:sz w:val="23"/>
              </w:rPr>
              <w:t xml:space="preserve"> Президиумом Верховного Суда РФ </w:t>
            </w:r>
          </w:p>
          <w:p w14:paraId="29000000">
            <w:pPr>
              <w:pStyle w:val="Style_8"/>
              <w:widowControl w:val="1"/>
              <w:numPr>
                <w:ilvl w:val="0"/>
                <w:numId w:val="1"/>
              </w:numPr>
              <w:spacing w:line="240" w:lineRule="auto"/>
              <w:ind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Основные отличия №223-ФЗ от №44-ФЗ</w:t>
            </w:r>
          </w:p>
        </w:tc>
      </w:tr>
      <w:tr>
        <w:trPr>
          <w:trHeight w:hRule="atLeast" w:val="694"/>
        </w:trP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A000000">
            <w:pPr>
              <w:pStyle w:val="Style_10"/>
              <w:widowControl w:val="1"/>
              <w:spacing w:line="240" w:lineRule="auto"/>
              <w:ind/>
              <w:rPr>
                <w:rStyle w:val="Style_11_ch"/>
              </w:rPr>
            </w:pP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B000000">
            <w:pPr>
              <w:pStyle w:val="Style_8"/>
              <w:widowControl w:val="1"/>
              <w:spacing w:line="240" w:lineRule="auto"/>
              <w:ind/>
              <w:jc w:val="both"/>
              <w:rPr>
                <w:rStyle w:val="Style_12_ch"/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Ожидаемые новации 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>в 2025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 году</w:t>
            </w:r>
          </w:p>
          <w:p w14:paraId="2C000000">
            <w:pPr>
              <w:pStyle w:val="Style_8"/>
              <w:widowControl w:val="1"/>
              <w:numPr>
                <w:ilvl w:val="0"/>
                <w:numId w:val="2"/>
              </w:numPr>
              <w:spacing w:line="240" w:lineRule="auto"/>
              <w:ind/>
              <w:jc w:val="both"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 xml:space="preserve">Новые правила применения национального режима </w:t>
            </w:r>
            <w:r>
              <w:rPr>
                <w:rStyle w:val="Style_12_ch"/>
                <w:rFonts w:ascii="Circe" w:hAnsi="Circe"/>
                <w:sz w:val="23"/>
              </w:rPr>
              <w:t xml:space="preserve">с </w:t>
            </w:r>
            <w:r>
              <w:rPr>
                <w:rStyle w:val="Style_12_ch"/>
                <w:rFonts w:ascii="Circe" w:hAnsi="Circe"/>
                <w:sz w:val="23"/>
              </w:rPr>
              <w:t>января 2025 года</w:t>
            </w:r>
          </w:p>
          <w:p w14:paraId="2D000000">
            <w:pPr>
              <w:pStyle w:val="Style_13"/>
              <w:numPr>
                <w:ilvl w:val="0"/>
                <w:numId w:val="2"/>
              </w:numPr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Исчерпывающий перечень закупок у единственного поставщика</w:t>
            </w:r>
          </w:p>
          <w:p w14:paraId="2E000000">
            <w:pPr>
              <w:pStyle w:val="Style_13"/>
              <w:numPr>
                <w:ilvl w:val="0"/>
                <w:numId w:val="2"/>
              </w:numPr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Малые закупки у единственного поставщика только через электронные магазины</w:t>
            </w:r>
          </w:p>
          <w:p w14:paraId="2F000000">
            <w:pPr>
              <w:pStyle w:val="Style_8"/>
              <w:widowControl w:val="1"/>
              <w:spacing w:line="240" w:lineRule="auto"/>
              <w:ind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Новации 2023-2024 годов</w:t>
            </w:r>
          </w:p>
          <w:p w14:paraId="30000000">
            <w:pPr>
              <w:pStyle w:val="Style_8"/>
              <w:widowControl w:val="1"/>
              <w:numPr>
                <w:ilvl w:val="0"/>
                <w:numId w:val="2"/>
              </w:numPr>
              <w:spacing w:line="240" w:lineRule="auto"/>
              <w:ind/>
              <w:jc w:val="both"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Применение машиночитаемых доверенностей с 1 сентября 2024 года</w:t>
            </w:r>
          </w:p>
          <w:p w14:paraId="31000000">
            <w:pPr>
              <w:pStyle w:val="Style_8"/>
              <w:widowControl w:val="1"/>
              <w:numPr>
                <w:ilvl w:val="0"/>
                <w:numId w:val="2"/>
              </w:numPr>
              <w:spacing w:line="240" w:lineRule="auto"/>
              <w:ind/>
              <w:jc w:val="both"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Д</w:t>
            </w:r>
            <w:r>
              <w:rPr>
                <w:rStyle w:val="Style_12_ch"/>
                <w:rFonts w:ascii="Circe" w:hAnsi="Circe"/>
                <w:sz w:val="23"/>
              </w:rPr>
              <w:t xml:space="preserve">ополнен перечень заказчиков, чьи проекты планов закупки и изменений в них оценивает Корпорация МСП </w:t>
            </w:r>
            <w:r>
              <w:rPr>
                <w:rStyle w:val="Style_12_ch"/>
                <w:rFonts w:ascii="Circe" w:hAnsi="Circe"/>
                <w:sz w:val="23"/>
              </w:rPr>
              <w:t xml:space="preserve">на соответствие закону в части </w:t>
            </w:r>
            <w:r>
              <w:rPr>
                <w:rStyle w:val="Style_12_ch"/>
                <w:rFonts w:ascii="Circe" w:hAnsi="Circe"/>
                <w:sz w:val="23"/>
              </w:rPr>
              <w:t>МСП</w:t>
            </w:r>
            <w:r>
              <w:rPr>
                <w:rStyle w:val="Style_12_ch"/>
                <w:rFonts w:ascii="Circe" w:hAnsi="Circe"/>
                <w:sz w:val="23"/>
              </w:rPr>
              <w:t xml:space="preserve"> с 1 января 2024 года</w:t>
            </w:r>
          </w:p>
          <w:p w14:paraId="32000000">
            <w:pPr>
              <w:pStyle w:val="Style_8"/>
              <w:widowControl w:val="1"/>
              <w:numPr>
                <w:ilvl w:val="0"/>
                <w:numId w:val="2"/>
              </w:numPr>
              <w:spacing w:line="240" w:lineRule="auto"/>
              <w:ind/>
              <w:jc w:val="both"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Реестр независимых гарантий в закупках для МСП с 1 апреля 2023 года</w:t>
            </w:r>
            <w:r>
              <w:rPr>
                <w:rStyle w:val="Style_12_ch"/>
                <w:rFonts w:ascii="Circe" w:hAnsi="Circe"/>
                <w:sz w:val="23"/>
              </w:rPr>
              <w:t>, а также изменения в макетах гарантий с октября 2024 года</w:t>
            </w:r>
          </w:p>
          <w:p w14:paraId="33000000">
            <w:pPr>
              <w:pStyle w:val="Style_8"/>
              <w:widowControl w:val="1"/>
              <w:numPr>
                <w:ilvl w:val="0"/>
                <w:numId w:val="2"/>
              </w:numPr>
              <w:spacing w:line="240" w:lineRule="auto"/>
              <w:ind/>
              <w:jc w:val="both"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Новации в порядке размещения Положения о закупке с 1 апреля 2023 года</w:t>
            </w:r>
          </w:p>
          <w:p w14:paraId="34000000">
            <w:pPr>
              <w:pStyle w:val="Style_8"/>
              <w:widowControl w:val="1"/>
              <w:numPr>
                <w:ilvl w:val="0"/>
                <w:numId w:val="2"/>
              </w:numPr>
              <w:spacing w:line="240" w:lineRule="auto"/>
              <w:ind/>
              <w:jc w:val="both"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Изменения в перечне квотируемой продукции с 1 марта 2023 года</w:t>
            </w:r>
          </w:p>
          <w:p w14:paraId="35000000">
            <w:pPr>
              <w:pStyle w:val="Style_8"/>
              <w:widowControl w:val="1"/>
              <w:numPr>
                <w:ilvl w:val="0"/>
                <w:numId w:val="2"/>
              </w:numPr>
              <w:spacing w:line="240" w:lineRule="auto"/>
              <w:ind/>
              <w:jc w:val="both"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Сняты ограничения соблюдения лимита закупок среди МСП для заказчиков, находящихся под санкциями с 1 января 2023 года</w:t>
            </w:r>
          </w:p>
          <w:p w14:paraId="36000000">
            <w:pPr>
              <w:pStyle w:val="Style_8"/>
              <w:widowControl w:val="1"/>
              <w:numPr>
                <w:ilvl w:val="0"/>
                <w:numId w:val="2"/>
              </w:numPr>
              <w:spacing w:line="240" w:lineRule="auto"/>
              <w:ind/>
              <w:jc w:val="both"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Регламентированный порядок определения размера штрафов</w:t>
            </w:r>
            <w:r>
              <w:rPr>
                <w:rStyle w:val="Style_12_ch"/>
                <w:rFonts w:ascii="Circe" w:hAnsi="Circe"/>
                <w:sz w:val="23"/>
              </w:rPr>
              <w:t xml:space="preserve">. </w:t>
            </w:r>
            <w:r>
              <w:rPr>
                <w:rStyle w:val="Style_12_ch"/>
                <w:rFonts w:ascii="Circe" w:hAnsi="Circe"/>
                <w:sz w:val="23"/>
              </w:rPr>
              <w:t>Новые штрафы, согласно изменениям в КоАП</w:t>
            </w:r>
          </w:p>
          <w:p w14:paraId="37000000">
            <w:pPr>
              <w:pStyle w:val="Style_8"/>
              <w:widowControl w:val="1"/>
              <w:spacing w:line="240" w:lineRule="auto"/>
              <w:ind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Антикризисные меры поддержки п</w:t>
            </w:r>
            <w:r>
              <w:rPr>
                <w:rFonts w:ascii="Circe" w:hAnsi="Circe"/>
                <w:b w:val="1"/>
                <w:sz w:val="23"/>
              </w:rPr>
              <w:t>оставщиков и заказчиков в 2022 году</w:t>
            </w:r>
          </w:p>
          <w:p w14:paraId="38000000">
            <w:pPr>
              <w:pStyle w:val="Style_13"/>
              <w:numPr>
                <w:ilvl w:val="0"/>
                <w:numId w:val="2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Неразмещение</w:t>
            </w:r>
            <w:r>
              <w:rPr>
                <w:rFonts w:ascii="Circe" w:hAnsi="Circe"/>
                <w:sz w:val="23"/>
              </w:rPr>
              <w:t xml:space="preserve"> информации о закупках в </w:t>
            </w:r>
            <w:r>
              <w:rPr>
                <w:rFonts w:ascii="Circe" w:hAnsi="Circe"/>
                <w:sz w:val="23"/>
              </w:rPr>
              <w:t>ЕИСе</w:t>
            </w:r>
            <w:r>
              <w:rPr>
                <w:rFonts w:ascii="Circe" w:hAnsi="Circe"/>
                <w:sz w:val="23"/>
              </w:rPr>
              <w:t xml:space="preserve"> для заказчиков, которые попали под санкции</w:t>
            </w:r>
          </w:p>
          <w:p w14:paraId="39000000">
            <w:pPr>
              <w:pStyle w:val="Style_13"/>
              <w:ind w:firstLine="0" w:left="78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Постановление Пра</w:t>
            </w:r>
            <w:r>
              <w:rPr>
                <w:rFonts w:ascii="Circe" w:hAnsi="Circe"/>
                <w:sz w:val="23"/>
              </w:rPr>
              <w:t>вительства РФ от 6 марта 2022 года №301 «</w:t>
            </w:r>
            <w:r>
              <w:rPr>
                <w:rFonts w:ascii="Circe" w:hAnsi="Circe"/>
                <w:sz w:val="23"/>
              </w:rPr>
              <w:t xml:space="preserve">Об основаниях </w:t>
            </w:r>
            <w:r>
              <w:rPr>
                <w:rFonts w:ascii="Circe" w:hAnsi="Circe"/>
                <w:sz w:val="23"/>
              </w:rPr>
              <w:t>неразмещения</w:t>
            </w:r>
            <w:r>
              <w:rPr>
                <w:rFonts w:ascii="Circe" w:hAnsi="Circe"/>
                <w:sz w:val="23"/>
              </w:rPr>
              <w:t xml:space="preserve"> в единой информационной системе в сфере закупок товаров, работ, услуг для обеспечения государственных и муниципальных нужд сведений о закупках товаров, работ, услуг, информации о поставщиках (подрядчиках, исполнителях)</w:t>
            </w:r>
            <w:r>
              <w:rPr>
                <w:rFonts w:ascii="Circe" w:hAnsi="Circe"/>
                <w:sz w:val="23"/>
              </w:rPr>
              <w:t>, с которыми заключены договоры»</w:t>
            </w:r>
          </w:p>
          <w:p w14:paraId="3A000000">
            <w:pPr>
              <w:pStyle w:val="Style_13"/>
              <w:numPr>
                <w:ilvl w:val="0"/>
                <w:numId w:val="2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Особенности закупок </w:t>
            </w:r>
            <w:r>
              <w:rPr>
                <w:rFonts w:ascii="Circe" w:hAnsi="Circe"/>
                <w:sz w:val="23"/>
              </w:rPr>
              <w:t>подсанкционных</w:t>
            </w:r>
            <w:r>
              <w:rPr>
                <w:rFonts w:ascii="Circe" w:hAnsi="Circe"/>
                <w:sz w:val="23"/>
              </w:rPr>
              <w:t xml:space="preserve"> заказчиков</w:t>
            </w:r>
          </w:p>
          <w:p w14:paraId="3B000000">
            <w:pPr>
              <w:pStyle w:val="Style_13"/>
              <w:numPr>
                <w:ilvl w:val="0"/>
                <w:numId w:val="2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 проведения закрытых закупок заказчиков в электронной и бумажной форме</w:t>
            </w:r>
          </w:p>
          <w:p w14:paraId="3C000000">
            <w:pPr>
              <w:pStyle w:val="Style_13"/>
              <w:numPr>
                <w:ilvl w:val="0"/>
                <w:numId w:val="2"/>
              </w:numPr>
            </w:pPr>
            <w:r>
              <w:rPr>
                <w:rFonts w:ascii="Circe" w:hAnsi="Circe"/>
                <w:sz w:val="23"/>
              </w:rPr>
              <w:t>Сокращение сроков оплаты по договорам среди МСП с 15 до 7 рабочих дней</w:t>
            </w:r>
          </w:p>
          <w:p w14:paraId="3D000000">
            <w:pPr>
              <w:pStyle w:val="Style_13"/>
              <w:numPr>
                <w:ilvl w:val="0"/>
                <w:numId w:val="2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Новый порядок расторжения договоров для заказчиков, которые попали под санкции</w:t>
            </w:r>
            <w:r>
              <w:rPr>
                <w:rFonts w:ascii="Circe" w:hAnsi="Circe"/>
                <w:sz w:val="23"/>
              </w:rPr>
              <w:t>. О</w:t>
            </w:r>
            <w:r>
              <w:rPr>
                <w:rFonts w:ascii="Circe" w:hAnsi="Circe"/>
                <w:sz w:val="23"/>
              </w:rPr>
              <w:t>снования включения сведений в РНП</w:t>
            </w:r>
          </w:p>
          <w:p w14:paraId="3E000000">
            <w:pPr>
              <w:pStyle w:val="Style_8"/>
              <w:widowControl w:val="1"/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 xml:space="preserve">Способы закупок, применяемые заказчиками </w:t>
            </w:r>
          </w:p>
          <w:p w14:paraId="3F000000">
            <w:pPr>
              <w:pStyle w:val="Style_13"/>
              <w:numPr>
                <w:ilvl w:val="0"/>
                <w:numId w:val="2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Разделение закупок на конкурентные и неконкурентные, открытые и закрытые, в электронной и письменной форме </w:t>
            </w:r>
          </w:p>
          <w:p w14:paraId="40000000">
            <w:pPr>
              <w:pStyle w:val="Style_13"/>
              <w:numPr>
                <w:ilvl w:val="0"/>
                <w:numId w:val="2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Конкурентные закупки: </w:t>
            </w:r>
          </w:p>
          <w:p w14:paraId="41000000">
            <w:pPr>
              <w:pStyle w:val="Style_13"/>
              <w:ind w:firstLine="0" w:left="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- </w:t>
            </w:r>
            <w:r>
              <w:rPr>
                <w:rFonts w:ascii="Circe" w:hAnsi="Circe"/>
                <w:sz w:val="23"/>
              </w:rPr>
              <w:t xml:space="preserve">запрос котировок, запрос предложений, аукцион, конкурс. </w:t>
            </w:r>
          </w:p>
          <w:p w14:paraId="42000000">
            <w:pPr>
              <w:pStyle w:val="Style_13"/>
              <w:ind w:firstLine="0" w:left="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- </w:t>
            </w:r>
            <w:r>
              <w:rPr>
                <w:rFonts w:ascii="Circe" w:hAnsi="Circe"/>
                <w:sz w:val="23"/>
              </w:rPr>
              <w:t>иные способы конкурентных закупок, применяемых заказчиками</w:t>
            </w:r>
          </w:p>
          <w:p w14:paraId="43000000">
            <w:pPr>
              <w:pStyle w:val="Style_13"/>
              <w:numPr>
                <w:ilvl w:val="0"/>
                <w:numId w:val="2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Неконкурентные закупки:</w:t>
            </w:r>
          </w:p>
          <w:p w14:paraId="44000000">
            <w:pPr>
              <w:pStyle w:val="Style_13"/>
              <w:ind w:firstLine="0" w:left="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- </w:t>
            </w:r>
            <w:r>
              <w:rPr>
                <w:rFonts w:ascii="Circe" w:hAnsi="Circe"/>
                <w:sz w:val="23"/>
              </w:rPr>
              <w:t>закупка у единственного поставщика</w:t>
            </w:r>
          </w:p>
          <w:p w14:paraId="45000000">
            <w:pPr>
              <w:pStyle w:val="Style_13"/>
              <w:ind w:firstLine="0" w:left="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- </w:t>
            </w:r>
            <w:r>
              <w:rPr>
                <w:rFonts w:ascii="Circe" w:hAnsi="Circe"/>
                <w:sz w:val="23"/>
              </w:rPr>
              <w:t xml:space="preserve">иные способы </w:t>
            </w:r>
            <w:r>
              <w:rPr>
                <w:rFonts w:ascii="Circe" w:hAnsi="Circe"/>
                <w:sz w:val="23"/>
              </w:rPr>
              <w:t>не</w:t>
            </w:r>
            <w:r>
              <w:rPr>
                <w:rFonts w:ascii="Circe" w:hAnsi="Circe"/>
                <w:sz w:val="23"/>
              </w:rPr>
              <w:t>конкурентных закупок, применяемых заказчиками</w:t>
            </w:r>
          </w:p>
          <w:p w14:paraId="46000000">
            <w:pPr>
              <w:pStyle w:val="Style_13"/>
              <w:numPr>
                <w:ilvl w:val="0"/>
                <w:numId w:val="2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Сроки и порядок подачи заявок по </w:t>
            </w:r>
            <w:r>
              <w:rPr>
                <w:rFonts w:ascii="Circe" w:hAnsi="Circe"/>
                <w:sz w:val="23"/>
              </w:rPr>
              <w:t>конкурентным</w:t>
            </w:r>
            <w:r>
              <w:rPr>
                <w:rFonts w:ascii="Circe" w:hAnsi="Circe"/>
                <w:sz w:val="23"/>
              </w:rPr>
              <w:t xml:space="preserve"> процедурам </w:t>
            </w:r>
          </w:p>
          <w:p w14:paraId="47000000">
            <w:pPr>
              <w:pStyle w:val="Style_13"/>
              <w:numPr>
                <w:ilvl w:val="0"/>
                <w:numId w:val="2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Сроки внесения изменений и разъяснений</w:t>
            </w:r>
            <w:r>
              <w:rPr>
                <w:rFonts w:ascii="Circe" w:hAnsi="Circe"/>
                <w:sz w:val="23"/>
              </w:rPr>
              <w:t xml:space="preserve"> по </w:t>
            </w:r>
            <w:r>
              <w:rPr>
                <w:rFonts w:ascii="Circe" w:hAnsi="Circe"/>
                <w:sz w:val="23"/>
              </w:rPr>
              <w:t>конкурентным процедурам</w:t>
            </w:r>
          </w:p>
          <w:p w14:paraId="48000000">
            <w:pPr>
              <w:pStyle w:val="Style_13"/>
              <w:numPr>
                <w:ilvl w:val="0"/>
                <w:numId w:val="2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Возможность отмены </w:t>
            </w:r>
            <w:r>
              <w:rPr>
                <w:rFonts w:ascii="Circe" w:hAnsi="Circe"/>
                <w:sz w:val="23"/>
              </w:rPr>
              <w:t xml:space="preserve">конкурентной </w:t>
            </w:r>
            <w:r>
              <w:rPr>
                <w:rFonts w:ascii="Circe" w:hAnsi="Circe"/>
                <w:sz w:val="23"/>
              </w:rPr>
              <w:t>закупки</w:t>
            </w:r>
          </w:p>
          <w:p w14:paraId="49000000">
            <w:pPr>
              <w:pStyle w:val="Style_13"/>
              <w:numPr>
                <w:ilvl w:val="0"/>
                <w:numId w:val="2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Последовательность, продолжительность и содержание </w:t>
            </w:r>
            <w:r>
              <w:rPr>
                <w:rFonts w:ascii="Circe" w:hAnsi="Circe"/>
                <w:sz w:val="23"/>
              </w:rPr>
              <w:t>конкурентных</w:t>
            </w:r>
            <w:r>
              <w:rPr>
                <w:rFonts w:ascii="Circe" w:hAnsi="Circe"/>
                <w:sz w:val="23"/>
              </w:rPr>
              <w:t xml:space="preserve"> процедур</w:t>
            </w:r>
          </w:p>
          <w:p w14:paraId="4A000000">
            <w:pPr>
              <w:pStyle w:val="Style_13"/>
              <w:numPr>
                <w:ilvl w:val="0"/>
                <w:numId w:val="2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Состав заявки поставщика в зависимости от способа закупки</w:t>
            </w:r>
          </w:p>
          <w:p w14:paraId="4B000000">
            <w:pPr>
              <w:pStyle w:val="Style_13"/>
              <w:numPr>
                <w:ilvl w:val="0"/>
                <w:numId w:val="2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Установление предельного минимального и максимального срока заключения договора по конкурентной процедуре</w:t>
            </w:r>
          </w:p>
          <w:p w14:paraId="4C000000">
            <w:pPr>
              <w:pStyle w:val="Style_13"/>
              <w:numPr>
                <w:ilvl w:val="0"/>
                <w:numId w:val="2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 закупки у единственного поставщика</w:t>
            </w:r>
            <w:r>
              <w:rPr>
                <w:rFonts w:ascii="Circe" w:hAnsi="Circe"/>
                <w:sz w:val="23"/>
              </w:rPr>
              <w:t xml:space="preserve">. </w:t>
            </w:r>
            <w:r>
              <w:rPr>
                <w:rFonts w:ascii="Circe" w:hAnsi="Circe"/>
                <w:sz w:val="23"/>
              </w:rPr>
              <w:t>Электронные магазины малых закупок</w:t>
            </w:r>
          </w:p>
          <w:p w14:paraId="4D000000">
            <w:pPr>
              <w:pStyle w:val="Style_13"/>
              <w:numPr>
                <w:ilvl w:val="0"/>
                <w:numId w:val="2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Закрытая закупка проводится, если сведения о такой закупке содержат </w:t>
            </w:r>
            <w:r>
              <w:rPr>
                <w:rFonts w:ascii="Circe" w:hAnsi="Circe"/>
                <w:sz w:val="23"/>
              </w:rPr>
              <w:t>гостайну</w:t>
            </w:r>
            <w:r>
              <w:rPr>
                <w:rFonts w:ascii="Circe" w:hAnsi="Circe"/>
                <w:sz w:val="23"/>
              </w:rPr>
              <w:t xml:space="preserve"> или если такая закупка осуществляется в рамках </w:t>
            </w:r>
            <w:r>
              <w:rPr>
                <w:rFonts w:ascii="Circe" w:hAnsi="Circe"/>
                <w:sz w:val="23"/>
              </w:rPr>
              <w:t>гособоронзаказа</w:t>
            </w:r>
            <w:r>
              <w:rPr>
                <w:rFonts w:ascii="Circe" w:hAnsi="Circe"/>
                <w:sz w:val="23"/>
              </w:rPr>
              <w:t xml:space="preserve"> </w:t>
            </w:r>
          </w:p>
          <w:p w14:paraId="4E000000">
            <w:pPr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 xml:space="preserve"> Закупки в электронной форме</w:t>
            </w:r>
          </w:p>
          <w:p w14:paraId="4F000000">
            <w:pPr>
              <w:pStyle w:val="Style_13"/>
              <w:numPr>
                <w:ilvl w:val="0"/>
                <w:numId w:val="2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Подача заявок через электронную площадку. Требования и ответственность электронной площадки</w:t>
            </w:r>
          </w:p>
          <w:p w14:paraId="50000000">
            <w:pPr>
              <w:pStyle w:val="Style_13"/>
              <w:numPr>
                <w:ilvl w:val="0"/>
                <w:numId w:val="2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Примеры жалоб поставщиков на действия операторов электронных площадок. Как доказать сбой на площадке поставщику</w:t>
            </w:r>
          </w:p>
          <w:p w14:paraId="51000000">
            <w:pPr>
              <w:pStyle w:val="Style_13"/>
              <w:numPr>
                <w:ilvl w:val="0"/>
                <w:numId w:val="2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Обзор электронных площадок, применяемых заказчиками</w:t>
            </w:r>
          </w:p>
          <w:p w14:paraId="52000000">
            <w:pPr>
              <w:pStyle w:val="Style_13"/>
              <w:numPr>
                <w:ilvl w:val="0"/>
                <w:numId w:val="2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Перечень товаров, работ и услуг, закупаемых в электронной форме</w:t>
            </w:r>
          </w:p>
          <w:p w14:paraId="53000000">
            <w:pPr>
              <w:pStyle w:val="Style_13"/>
              <w:ind w:firstLine="0" w:left="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Постановление Правительства РФ от 21 июня 2014 года №616 «Об </w:t>
            </w:r>
            <w:r>
              <w:rPr>
                <w:rFonts w:ascii="Circe" w:hAnsi="Circe"/>
                <w:sz w:val="23"/>
              </w:rPr>
              <w:t>утверждении  перечня</w:t>
            </w:r>
            <w:r>
              <w:rPr>
                <w:rFonts w:ascii="Circe" w:hAnsi="Circe"/>
                <w:sz w:val="23"/>
              </w:rPr>
              <w:t xml:space="preserve"> товаров, работ и услуг, закупка которых осуществляется в электронной форме»</w:t>
            </w:r>
          </w:p>
          <w:p w14:paraId="54000000">
            <w:pPr>
              <w:pStyle w:val="Style_13"/>
              <w:numPr>
                <w:ilvl w:val="0"/>
                <w:numId w:val="2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Порядок прохождения аккредитации: ЕСИА (портал </w:t>
            </w:r>
            <w:r>
              <w:rPr>
                <w:rFonts w:ascii="Circe" w:hAnsi="Circe"/>
                <w:sz w:val="23"/>
              </w:rPr>
              <w:t>gosuslugi</w:t>
            </w:r>
            <w:r>
              <w:rPr>
                <w:rFonts w:ascii="Circe" w:hAnsi="Circe"/>
                <w:sz w:val="23"/>
              </w:rPr>
              <w:t>) – ЕИС – личный кабинет в ЕИС – регистрация на электронных площадках. Основные проблемы поставщиков при каждом этапе аккредитации и пути их решения</w:t>
            </w:r>
          </w:p>
          <w:p w14:paraId="55000000">
            <w:pPr>
              <w:pStyle w:val="Style_13"/>
              <w:numPr>
                <w:ilvl w:val="0"/>
                <w:numId w:val="2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Аккредитация поставщика на электронных площадках. Тарифы для поставщиков, порядок получения закрывающих документов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5600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12:00-12:</w:t>
            </w:r>
            <w:r>
              <w:rPr>
                <w:rStyle w:val="Style_11_ch"/>
                <w:rFonts w:ascii="Circe" w:hAnsi="Circe"/>
                <w:sz w:val="20"/>
              </w:rPr>
              <w:t>4</w:t>
            </w:r>
            <w:r>
              <w:rPr>
                <w:rStyle w:val="Style_11_ch"/>
                <w:rFonts w:ascii="Circe" w:hAnsi="Circe"/>
                <w:sz w:val="20"/>
              </w:rPr>
              <w:t>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57000000">
            <w:pPr>
              <w:pStyle w:val="Style_8"/>
              <w:widowControl w:val="1"/>
              <w:spacing w:line="240" w:lineRule="auto"/>
              <w:ind/>
              <w:rPr>
                <w:rStyle w:val="Style_12_ch"/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>Обед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800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12:40-15</w:t>
            </w:r>
            <w:r>
              <w:rPr>
                <w:rStyle w:val="Style_11_ch"/>
                <w:rFonts w:ascii="Circe" w:hAnsi="Circe"/>
                <w:sz w:val="20"/>
              </w:rPr>
              <w:t>:20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9000000">
            <w:pPr>
              <w:pStyle w:val="Style_8"/>
              <w:widowControl w:val="1"/>
              <w:spacing w:line="240" w:lineRule="auto"/>
              <w:ind/>
              <w:rPr>
                <w:rStyle w:val="Style_12_ch"/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sz w:val="23"/>
              </w:rPr>
              <w:t xml:space="preserve"> 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>Положение о закупке и документация заказчика</w:t>
            </w:r>
          </w:p>
          <w:p w14:paraId="5A000000">
            <w:pPr>
              <w:pStyle w:val="Style_13"/>
              <w:numPr>
                <w:ilvl w:val="0"/>
                <w:numId w:val="3"/>
              </w:numPr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 xml:space="preserve">Положение о закупке как локальный нормативно-правовой документ организатора закупки. Порядок внесений изменений в Положение о закупке, размещение в </w:t>
            </w:r>
            <w:r>
              <w:rPr>
                <w:rStyle w:val="Style_12_ch"/>
                <w:rFonts w:ascii="Circe" w:hAnsi="Circe"/>
                <w:sz w:val="23"/>
              </w:rPr>
              <w:t>ЕИСе</w:t>
            </w:r>
          </w:p>
          <w:p w14:paraId="5B000000">
            <w:pPr>
              <w:pStyle w:val="Style_13"/>
              <w:numPr>
                <w:ilvl w:val="0"/>
                <w:numId w:val="3"/>
              </w:numPr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На какие разде</w:t>
            </w:r>
            <w:r>
              <w:rPr>
                <w:rStyle w:val="Style_12_ch"/>
                <w:rFonts w:ascii="Circe" w:hAnsi="Circe"/>
                <w:sz w:val="23"/>
              </w:rPr>
              <w:t>лы обратить внимание поставщику</w:t>
            </w:r>
            <w:r>
              <w:rPr>
                <w:rStyle w:val="Style_12_ch"/>
                <w:rFonts w:ascii="Circe" w:hAnsi="Circe"/>
                <w:sz w:val="23"/>
              </w:rPr>
              <w:t xml:space="preserve"> при анализе Положения о закупке заказчика?</w:t>
            </w:r>
          </w:p>
          <w:p w14:paraId="5C000000">
            <w:pPr>
              <w:pStyle w:val="Style_13"/>
              <w:numPr>
                <w:ilvl w:val="0"/>
                <w:numId w:val="3"/>
              </w:numPr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Обзор нарушений и ошибок при планировании закупочной деятельности</w:t>
            </w:r>
          </w:p>
          <w:p w14:paraId="5D000000">
            <w:pPr>
              <w:pStyle w:val="Style_13"/>
              <w:ind w:firstLine="0" w:left="0"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Постановление Правительства РФ от 17 сентября 2012 года №932 «Об утверждении Правил формирования плана закупки товаров (работ, услуг) и требований к форме такого плана»</w:t>
            </w:r>
          </w:p>
          <w:p w14:paraId="5E000000">
            <w:pPr>
              <w:pStyle w:val="Style_13"/>
              <w:numPr>
                <w:ilvl w:val="0"/>
                <w:numId w:val="3"/>
              </w:numPr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 xml:space="preserve">Порядок публикации извещения. Взаимодействие ЭП с ЕИС. Трудности </w:t>
            </w:r>
            <w:r>
              <w:rPr>
                <w:rStyle w:val="Style_12_ch"/>
                <w:rFonts w:ascii="Circe" w:hAnsi="Circe"/>
                <w:sz w:val="23"/>
              </w:rPr>
              <w:t xml:space="preserve">поставщиков </w:t>
            </w:r>
            <w:r>
              <w:rPr>
                <w:rStyle w:val="Style_12_ch"/>
                <w:rFonts w:ascii="Circe" w:hAnsi="Circe"/>
                <w:sz w:val="23"/>
              </w:rPr>
              <w:t xml:space="preserve">с поиском закупок в ЕИС </w:t>
            </w:r>
          </w:p>
          <w:p w14:paraId="5F000000">
            <w:pPr>
              <w:pStyle w:val="Style_13"/>
              <w:numPr>
                <w:ilvl w:val="0"/>
                <w:numId w:val="3"/>
              </w:numPr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 xml:space="preserve">Особенности документации заказчиков по 223-ФЗ. </w:t>
            </w:r>
          </w:p>
          <w:p w14:paraId="60000000">
            <w:pPr>
              <w:pStyle w:val="Style_13"/>
              <w:numPr>
                <w:ilvl w:val="0"/>
                <w:numId w:val="3"/>
              </w:numPr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Специфика формирования начальной (максимальной) цены договора</w:t>
            </w:r>
            <w:r>
              <w:rPr>
                <w:rStyle w:val="Style_12_ch"/>
                <w:rFonts w:ascii="Circe" w:hAnsi="Circe"/>
                <w:sz w:val="23"/>
              </w:rPr>
              <w:t xml:space="preserve"> </w:t>
            </w:r>
            <w:r>
              <w:rPr>
                <w:rStyle w:val="Style_12_ch"/>
                <w:rFonts w:ascii="Circe" w:hAnsi="Circe"/>
                <w:sz w:val="23"/>
              </w:rPr>
              <w:t>заказчиками</w:t>
            </w:r>
            <w:r>
              <w:rPr>
                <w:rStyle w:val="Style_12_ch"/>
                <w:rFonts w:ascii="Circe" w:hAnsi="Circe"/>
                <w:sz w:val="23"/>
              </w:rPr>
              <w:t>, о</w:t>
            </w:r>
            <w:r>
              <w:rPr>
                <w:rStyle w:val="Style_12_ch"/>
                <w:rFonts w:ascii="Circe" w:hAnsi="Circe"/>
                <w:sz w:val="23"/>
              </w:rPr>
              <w:t>бязанность обоснования</w:t>
            </w:r>
            <w:r>
              <w:rPr>
                <w:rStyle w:val="Style_12_ch"/>
                <w:rFonts w:ascii="Circe" w:hAnsi="Circe"/>
                <w:sz w:val="23"/>
              </w:rPr>
              <w:t xml:space="preserve"> НМЦД</w:t>
            </w:r>
          </w:p>
          <w:p w14:paraId="61000000">
            <w:pPr>
              <w:ind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Порядок описания</w:t>
            </w:r>
            <w:r>
              <w:rPr>
                <w:rFonts w:ascii="Circe" w:hAnsi="Circe"/>
                <w:b w:val="1"/>
                <w:sz w:val="23"/>
              </w:rPr>
              <w:t xml:space="preserve"> объекта закупки</w:t>
            </w:r>
            <w:r>
              <w:rPr>
                <w:rFonts w:ascii="Circe" w:hAnsi="Circe"/>
                <w:b w:val="1"/>
                <w:sz w:val="23"/>
              </w:rPr>
              <w:t xml:space="preserve">, </w:t>
            </w:r>
            <w:r>
              <w:rPr>
                <w:rFonts w:ascii="Circe" w:hAnsi="Circe"/>
                <w:b w:val="1"/>
                <w:sz w:val="23"/>
              </w:rPr>
              <w:t>нацрежим</w:t>
            </w:r>
          </w:p>
          <w:p w14:paraId="62000000">
            <w:pPr>
              <w:numPr>
                <w:ilvl w:val="0"/>
                <w:numId w:val="3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 описания товаров, работ и услуг по 223-ФЗ, отличия от 44-ФЗ</w:t>
            </w:r>
          </w:p>
          <w:p w14:paraId="63000000">
            <w:pPr>
              <w:numPr>
                <w:ilvl w:val="0"/>
                <w:numId w:val="3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Порядок применения национального режима</w:t>
            </w:r>
          </w:p>
          <w:p w14:paraId="64000000">
            <w:pPr>
              <w:ind w:hanging="357" w:left="714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      </w:t>
            </w:r>
            <w:r>
              <w:rPr>
                <w:rFonts w:ascii="Circe" w:hAnsi="Circe"/>
                <w:sz w:val="23"/>
              </w:rPr>
              <w:t>Постановление Правител</w:t>
            </w:r>
            <w:r>
              <w:rPr>
                <w:rFonts w:ascii="Circe" w:hAnsi="Circe"/>
                <w:sz w:val="23"/>
              </w:rPr>
              <w:t>ьства РФ от 16 сентября 2016 года №925 «</w:t>
            </w:r>
            <w:r>
              <w:rPr>
                <w:rFonts w:ascii="Circe" w:hAnsi="Circe"/>
                <w:sz w:val="23"/>
              </w:rPr>
              <w:t xml:space="preserve">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</w:t>
            </w:r>
            <w:r>
              <w:rPr>
                <w:rFonts w:ascii="Circe" w:hAnsi="Circe"/>
                <w:sz w:val="23"/>
              </w:rPr>
              <w:t>оказываемым иностранными лицами»</w:t>
            </w:r>
          </w:p>
          <w:p w14:paraId="65000000">
            <w:pPr>
              <w:pStyle w:val="Style_13"/>
              <w:numPr>
                <w:ilvl w:val="0"/>
                <w:numId w:val="4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Механизм «второй лишний» при наличии заявки на участие в закупке с отечественной продукцией</w:t>
            </w:r>
          </w:p>
          <w:p w14:paraId="66000000">
            <w:pPr>
              <w:pStyle w:val="Style_13"/>
              <w:numPr>
                <w:ilvl w:val="0"/>
                <w:numId w:val="4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Применение 15% преференции в отношении предложения отечественной продукции</w:t>
            </w:r>
          </w:p>
          <w:p w14:paraId="67000000">
            <w:pPr>
              <w:pStyle w:val="Style_13"/>
              <w:numPr>
                <w:ilvl w:val="0"/>
                <w:numId w:val="3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Квотирование отечественных товаров. Порядок применения</w:t>
            </w:r>
          </w:p>
          <w:p w14:paraId="68000000">
            <w:pPr>
              <w:pStyle w:val="Style_13"/>
              <w:ind w:firstLine="0" w:left="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Постановление Правительства РФ от 03 декабря 2020 года №2014 «О минимальной доле закупок товаров российского происхождения»</w:t>
            </w:r>
          </w:p>
          <w:p w14:paraId="69000000">
            <w:pPr>
              <w:pStyle w:val="Style_13"/>
              <w:numPr>
                <w:ilvl w:val="0"/>
                <w:numId w:val="3"/>
              </w:numPr>
              <w:spacing w:after="0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Запрет указания товарных знаков при описании объекта закупки</w:t>
            </w:r>
          </w:p>
          <w:p w14:paraId="6A000000">
            <w:pPr>
              <w:pStyle w:val="Style_13"/>
              <w:numPr>
                <w:ilvl w:val="0"/>
                <w:numId w:val="3"/>
              </w:numPr>
              <w:spacing w:after="0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Случаи</w:t>
            </w:r>
            <w:r>
              <w:rPr>
                <w:rFonts w:ascii="Circe" w:hAnsi="Circe"/>
                <w:sz w:val="23"/>
              </w:rPr>
              <w:t>, при которых</w:t>
            </w: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sz w:val="23"/>
              </w:rPr>
              <w:t>заказчиками</w:t>
            </w:r>
            <w:r>
              <w:rPr>
                <w:rFonts w:ascii="Circe" w:hAnsi="Circe"/>
                <w:sz w:val="23"/>
              </w:rPr>
              <w:t xml:space="preserve"> могут указываться товарные знаки без указания «или эквивалент»</w:t>
            </w:r>
          </w:p>
          <w:p w14:paraId="6B000000">
            <w:pPr>
              <w:pStyle w:val="Style_13"/>
              <w:numPr>
                <w:ilvl w:val="0"/>
                <w:numId w:val="3"/>
              </w:numPr>
              <w:spacing w:after="0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Товары, которые нельзя закупать без согласования с координационным органом Пр</w:t>
            </w:r>
            <w:r>
              <w:rPr>
                <w:rFonts w:ascii="Circe" w:hAnsi="Circe"/>
                <w:sz w:val="23"/>
              </w:rPr>
              <w:t>авительства РФ</w:t>
            </w:r>
          </w:p>
          <w:p w14:paraId="6C000000">
            <w:pPr>
              <w:pStyle w:val="Style_13"/>
              <w:spacing w:after="0"/>
              <w:ind w:hanging="357" w:left="714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      </w:t>
            </w:r>
            <w:r>
              <w:rPr>
                <w:rFonts w:ascii="Circe" w:hAnsi="Circe"/>
                <w:sz w:val="23"/>
              </w:rPr>
              <w:t>Распоряжение Правительства РФ от 23 мая 20</w:t>
            </w:r>
            <w:r>
              <w:rPr>
                <w:rFonts w:ascii="Circe" w:hAnsi="Circe"/>
                <w:sz w:val="23"/>
              </w:rPr>
              <w:t>19 года</w:t>
            </w:r>
            <w:r>
              <w:rPr>
                <w:rFonts w:ascii="Circe" w:hAnsi="Circe"/>
                <w:sz w:val="23"/>
              </w:rPr>
              <w:t xml:space="preserve"> № 1024-р</w:t>
            </w:r>
          </w:p>
          <w:p w14:paraId="6D000000">
            <w:pPr>
              <w:pStyle w:val="Style_13"/>
              <w:numPr>
                <w:ilvl w:val="0"/>
                <w:numId w:val="3"/>
              </w:numPr>
              <w:spacing w:after="0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 составления технического задания</w:t>
            </w:r>
          </w:p>
          <w:p w14:paraId="6E000000">
            <w:pPr>
              <w:numPr>
                <w:ilvl w:val="0"/>
                <w:numId w:val="3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Практика указания стандартных и нестандартных показателей при описании объекта закупки</w:t>
            </w:r>
          </w:p>
          <w:p w14:paraId="6F000000">
            <w:pPr>
              <w:numPr>
                <w:ilvl w:val="0"/>
                <w:numId w:val="3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Требования заказчика о наличии образцов товара в составе заявки</w:t>
            </w:r>
          </w:p>
          <w:p w14:paraId="70000000">
            <w:pPr>
              <w:numPr>
                <w:ilvl w:val="0"/>
                <w:numId w:val="3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Условия закупки товаров, запасных частей и расходных материалов, ГСМ</w:t>
            </w:r>
          </w:p>
          <w:p w14:paraId="71000000">
            <w:pPr>
              <w:numPr>
                <w:ilvl w:val="0"/>
                <w:numId w:val="3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Описание объекта закупки в части установления порядка и сроков оплаты поставленных товаров, выполненных работ, оказанных услуг</w:t>
            </w:r>
          </w:p>
          <w:p w14:paraId="72000000">
            <w:pPr>
              <w:numPr>
                <w:ilvl w:val="0"/>
                <w:numId w:val="3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Примеры объединения в один лот закупок и «разбивки» заказов: поставка товара и выполнение работ, объединение </w:t>
            </w:r>
            <w:r>
              <w:rPr>
                <w:rFonts w:ascii="Circe" w:hAnsi="Circe"/>
                <w:sz w:val="23"/>
              </w:rPr>
              <w:t>разнолицензируемых</w:t>
            </w:r>
            <w:r>
              <w:rPr>
                <w:rFonts w:ascii="Circe" w:hAnsi="Circe"/>
                <w:sz w:val="23"/>
              </w:rPr>
              <w:t xml:space="preserve"> работ, услуг в составе закупки. Требования антимонопольного законодательства ФЗ-135 при проведении торгов (ограничение конкуренции)</w:t>
            </w:r>
          </w:p>
          <w:p w14:paraId="73000000">
            <w:pPr>
              <w:pStyle w:val="Style_13"/>
              <w:numPr>
                <w:ilvl w:val="0"/>
                <w:numId w:val="3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Указание страны происхождения товара в описании объекта закупки и реестра договоров</w:t>
            </w:r>
          </w:p>
          <w:p w14:paraId="74000000">
            <w:pPr>
              <w:ind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Требования к участникам закупок</w:t>
            </w:r>
          </w:p>
          <w:p w14:paraId="75000000">
            <w:pPr>
              <w:numPr>
                <w:ilvl w:val="0"/>
                <w:numId w:val="3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Общие требования к участникам процедуры закупки </w:t>
            </w:r>
          </w:p>
          <w:p w14:paraId="76000000">
            <w:pPr>
              <w:numPr>
                <w:ilvl w:val="0"/>
                <w:numId w:val="3"/>
              </w:numPr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Дополнительные требования к участникам: сертификаты на соответствие системе менеджмента качества стандарту ISO, наличие права распоряжения предлагаемым оборудованием, документы от производителя, включая гарантийные письма, наличие собственной или партнерской сервисной сети, наличие дилерских договоров</w:t>
            </w:r>
            <w:r>
              <w:rPr>
                <w:rFonts w:ascii="Circe" w:hAnsi="Circe"/>
                <w:sz w:val="23"/>
              </w:rPr>
              <w:t xml:space="preserve">, предоставление финансовых документов от поставщика (налоговой </w:t>
            </w:r>
            <w:r>
              <w:rPr>
                <w:rFonts w:ascii="Circe" w:hAnsi="Circe"/>
                <w:sz w:val="23"/>
              </w:rPr>
              <w:t>декларации, бухгалтерского баланса), раскрытие выгодоприобретателей</w:t>
            </w:r>
          </w:p>
          <w:p w14:paraId="77000000">
            <w:pPr>
              <w:numPr>
                <w:ilvl w:val="0"/>
                <w:numId w:val="3"/>
              </w:numPr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Практика применения заказчиками </w:t>
            </w:r>
            <w:r>
              <w:rPr>
                <w:rFonts w:ascii="Circe" w:hAnsi="Circe"/>
                <w:sz w:val="23"/>
              </w:rPr>
              <w:t>предквалификации</w:t>
            </w:r>
            <w:r>
              <w:rPr>
                <w:rFonts w:ascii="Circe" w:hAnsi="Circe"/>
                <w:sz w:val="23"/>
              </w:rPr>
              <w:t xml:space="preserve"> поставщиков</w:t>
            </w:r>
          </w:p>
          <w:p w14:paraId="78000000">
            <w:pPr>
              <w:numPr>
                <w:ilvl w:val="0"/>
                <w:numId w:val="3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Обоснованные и необоснованные требования к участникам</w:t>
            </w:r>
          </w:p>
          <w:p w14:paraId="79000000">
            <w:pPr>
              <w:numPr>
                <w:ilvl w:val="0"/>
                <w:numId w:val="3"/>
              </w:numPr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Примеры </w:t>
            </w:r>
            <w:r>
              <w:rPr>
                <w:rFonts w:ascii="Circe" w:hAnsi="Circe"/>
                <w:sz w:val="23"/>
              </w:rPr>
              <w:t>неизмеряемых</w:t>
            </w:r>
            <w:r>
              <w:rPr>
                <w:rFonts w:ascii="Circe" w:hAnsi="Circe"/>
                <w:sz w:val="23"/>
              </w:rPr>
              <w:t xml:space="preserve"> требований к участникам закупок, которые не могут быть формализованы. Практика контрольных органов</w:t>
            </w:r>
          </w:p>
          <w:p w14:paraId="7A000000">
            <w:pPr>
              <w:numPr>
                <w:ilvl w:val="0"/>
                <w:numId w:val="3"/>
              </w:numPr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Требования к документам поставщиков в составе заявке. Практика предоставления подтверждающих документов</w:t>
            </w:r>
          </w:p>
          <w:p w14:paraId="7B000000">
            <w:pPr>
              <w:numPr>
                <w:ilvl w:val="0"/>
                <w:numId w:val="3"/>
              </w:numPr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Критерии и порядок оценки заявок участников закупок. Анализ типичных критериев</w:t>
            </w:r>
          </w:p>
          <w:p w14:paraId="7C000000">
            <w:pPr>
              <w:numPr>
                <w:ilvl w:val="0"/>
                <w:numId w:val="3"/>
              </w:numPr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Примеры </w:t>
            </w:r>
            <w:r>
              <w:rPr>
                <w:rFonts w:ascii="Circe" w:hAnsi="Circe"/>
                <w:sz w:val="23"/>
              </w:rPr>
              <w:t>неизмеряемых</w:t>
            </w:r>
            <w:r>
              <w:rPr>
                <w:rFonts w:ascii="Circe" w:hAnsi="Circe"/>
                <w:sz w:val="23"/>
              </w:rPr>
              <w:t xml:space="preserve"> критериев, дискретный порядок оценок, не позволяющий выявлять лучшие условия исполнения договора</w:t>
            </w:r>
          </w:p>
          <w:p w14:paraId="7D000000">
            <w:pPr>
              <w:numPr>
                <w:ilvl w:val="0"/>
                <w:numId w:val="3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Примеры оценки заявок участников, находящихся на разных системах налогообложения</w:t>
            </w:r>
            <w:r>
              <w:rPr>
                <w:rFonts w:ascii="Circe" w:hAnsi="Circe"/>
                <w:sz w:val="23"/>
              </w:rPr>
              <w:t xml:space="preserve">. </w:t>
            </w:r>
            <w:r>
              <w:rPr>
                <w:rFonts w:ascii="Circe" w:hAnsi="Circe"/>
                <w:sz w:val="23"/>
              </w:rPr>
              <w:t>НДС в составе цены – как проводится оценка предложений и могут ли уменьшить цену при победе</w:t>
            </w:r>
            <w:r>
              <w:rPr>
                <w:rFonts w:ascii="Circe" w:hAnsi="Circe"/>
                <w:sz w:val="23"/>
              </w:rPr>
              <w:t xml:space="preserve"> организации, работающей на УСН</w:t>
            </w:r>
            <w:r>
              <w:rPr>
                <w:rFonts w:ascii="Circe" w:hAnsi="Circe"/>
                <w:sz w:val="23"/>
              </w:rPr>
              <w:t xml:space="preserve"> (позиция Судов, ФАС, Минфина)</w:t>
            </w:r>
          </w:p>
          <w:p w14:paraId="7E000000">
            <w:pPr>
              <w:numPr>
                <w:ilvl w:val="0"/>
                <w:numId w:val="3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Применяемые заказчиками методики расчетов заявок поставщиков</w:t>
            </w:r>
          </w:p>
          <w:p w14:paraId="7F000000">
            <w:pPr>
              <w:numPr>
                <w:ilvl w:val="0"/>
                <w:numId w:val="3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В каких случаях заказчик может ограничить/запретить субподряд</w:t>
            </w:r>
          </w:p>
          <w:p w14:paraId="80000000">
            <w:pPr>
              <w:numPr>
                <w:ilvl w:val="0"/>
                <w:numId w:val="3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Порядок участия коллективной заявки</w:t>
            </w:r>
          </w:p>
          <w:p w14:paraId="81000000">
            <w:pPr>
              <w:numPr>
                <w:ilvl w:val="0"/>
                <w:numId w:val="3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Основания по отклонениям заявок участников закупок</w:t>
            </w:r>
          </w:p>
          <w:p w14:paraId="82000000">
            <w:pPr>
              <w:numPr>
                <w:ilvl w:val="0"/>
                <w:numId w:val="3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Примеры ф</w:t>
            </w:r>
            <w:r>
              <w:rPr>
                <w:rFonts w:ascii="Circe" w:hAnsi="Circe"/>
                <w:sz w:val="23"/>
              </w:rPr>
              <w:t>иктивных и недостоверных сведений в составе заявок участников закупок. Практика проверки информации со стороны заказчиков</w:t>
            </w:r>
          </w:p>
          <w:p w14:paraId="83000000">
            <w:p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 xml:space="preserve">Участие в закупках субъектов малого и среднего предпринимательства </w:t>
            </w:r>
            <w:r>
              <w:rPr>
                <w:rFonts w:ascii="Circe" w:hAnsi="Circe"/>
                <w:b w:val="1"/>
                <w:sz w:val="23"/>
              </w:rPr>
              <w:t>(МСП)</w:t>
            </w:r>
          </w:p>
          <w:p w14:paraId="84000000">
            <w:pPr>
              <w:numPr>
                <w:ilvl w:val="0"/>
                <w:numId w:val="3"/>
              </w:numPr>
              <w:ind/>
              <w:jc w:val="both"/>
              <w:rPr>
                <w:rStyle w:val="Style_12_ch"/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Объем закупок у субъектов малого</w:t>
            </w:r>
            <w:r>
              <w:rPr>
                <w:rFonts w:ascii="Circe" w:hAnsi="Circe"/>
                <w:sz w:val="23"/>
              </w:rPr>
              <w:t xml:space="preserve"> и среднего предпринимательства. </w:t>
            </w:r>
            <w:r>
              <w:rPr>
                <w:rStyle w:val="Style_12_ch"/>
                <w:rFonts w:ascii="Circe" w:hAnsi="Circe"/>
                <w:sz w:val="23"/>
              </w:rPr>
              <w:t>Перечень товаров, работ и услуг, закупаемых у МСП. Включение информации по закупкам у МСП в Положение о закупке заказчика</w:t>
            </w:r>
          </w:p>
          <w:p w14:paraId="85000000">
            <w:pPr>
              <w:numPr>
                <w:ilvl w:val="0"/>
                <w:numId w:val="3"/>
              </w:numPr>
              <w:ind/>
              <w:jc w:val="both"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Распространение обязанности проводить закупки у МСП практически на всех заказчиков</w:t>
            </w:r>
            <w:r>
              <w:rPr>
                <w:rStyle w:val="Style_12_ch"/>
                <w:rFonts w:ascii="Circe" w:hAnsi="Circe"/>
                <w:sz w:val="23"/>
              </w:rPr>
              <w:t>. Объем</w:t>
            </w:r>
            <w:r>
              <w:rPr>
                <w:rStyle w:val="Style_12_ch"/>
                <w:rFonts w:ascii="Circe" w:hAnsi="Circe"/>
                <w:sz w:val="23"/>
              </w:rPr>
              <w:t xml:space="preserve"> закупок у МСП</w:t>
            </w:r>
            <w:r>
              <w:rPr>
                <w:rStyle w:val="Style_12_ch"/>
                <w:rFonts w:ascii="Circe" w:hAnsi="Circe"/>
                <w:sz w:val="23"/>
              </w:rPr>
              <w:t xml:space="preserve"> и предельная стоимость</w:t>
            </w:r>
            <w:r>
              <w:rPr>
                <w:rStyle w:val="Style_12_ch"/>
                <w:rFonts w:ascii="Circe" w:hAnsi="Circe"/>
                <w:sz w:val="23"/>
              </w:rPr>
              <w:t xml:space="preserve"> лота в закупках у МСП</w:t>
            </w:r>
          </w:p>
          <w:p w14:paraId="86000000">
            <w:pPr>
              <w:pStyle w:val="Style_13"/>
              <w:numPr>
                <w:ilvl w:val="0"/>
                <w:numId w:val="3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Программа по «выращиванию» компетентных поставщиков</w:t>
            </w:r>
          </w:p>
          <w:p w14:paraId="87000000">
            <w:pPr>
              <w:pStyle w:val="Style_13"/>
              <w:ind w:firstLine="0" w:left="0"/>
              <w:rPr>
                <w:rStyle w:val="Style_12_ch"/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Федеральный закон от 14 июля 2022 года №285-ФЗ «О внесении изменений в Федеральный закон «О развитии малого и среднего предпринимательства в Российской Федерации»</w:t>
            </w:r>
          </w:p>
          <w:p w14:paraId="88000000">
            <w:pPr>
              <w:pStyle w:val="Style_13"/>
              <w:numPr>
                <w:ilvl w:val="0"/>
                <w:numId w:val="3"/>
              </w:numPr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Реестр МСП с 1 августа 2016 года</w:t>
            </w:r>
          </w:p>
          <w:p w14:paraId="89000000">
            <w:pPr>
              <w:pStyle w:val="Style_13"/>
              <w:numPr>
                <w:ilvl w:val="0"/>
                <w:numId w:val="3"/>
              </w:numPr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Состав заявки поставщика в закупках для МСП в соответствии с требованиями статьи 3.4</w:t>
            </w:r>
            <w:r>
              <w:rPr>
                <w:rStyle w:val="Style_12_ch"/>
                <w:rFonts w:ascii="Circe" w:hAnsi="Circe"/>
                <w:sz w:val="23"/>
              </w:rPr>
              <w:t xml:space="preserve">: </w:t>
            </w:r>
            <w:r>
              <w:rPr>
                <w:rStyle w:val="Style_12_ch"/>
                <w:rFonts w:ascii="Circe" w:hAnsi="Circe"/>
                <w:sz w:val="23"/>
              </w:rPr>
              <w:t>п</w:t>
            </w:r>
            <w:r>
              <w:rPr>
                <w:rStyle w:val="Style_12_ch"/>
                <w:rFonts w:ascii="Circe" w:hAnsi="Circe"/>
                <w:sz w:val="23"/>
              </w:rPr>
              <w:t>еречень требуемых от субъектов МСП документов при участии в конкурентной закупке в электронной форме. Анализ документов и порядок предоставления</w:t>
            </w:r>
          </w:p>
          <w:p w14:paraId="8A000000">
            <w:pPr>
              <w:pStyle w:val="Style_13"/>
              <w:numPr>
                <w:ilvl w:val="0"/>
                <w:numId w:val="3"/>
              </w:numPr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Порядок подачи заявок участниками закупок для МСП</w:t>
            </w:r>
            <w:r>
              <w:rPr>
                <w:rStyle w:val="Style_12_ch"/>
                <w:rFonts w:ascii="Circe" w:hAnsi="Circe"/>
                <w:sz w:val="23"/>
              </w:rPr>
              <w:t>. Обзор закупочных процедур среди МСП</w:t>
            </w:r>
          </w:p>
          <w:p w14:paraId="8B000000">
            <w:pPr>
              <w:pStyle w:val="Style_13"/>
              <w:numPr>
                <w:ilvl w:val="0"/>
                <w:numId w:val="3"/>
              </w:numPr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 xml:space="preserve">Особенности </w:t>
            </w:r>
            <w:r>
              <w:rPr>
                <w:rStyle w:val="Style_12_ch"/>
                <w:rFonts w:ascii="Circe" w:hAnsi="Circe"/>
                <w:sz w:val="23"/>
              </w:rPr>
              <w:t xml:space="preserve">проведения заказчиками </w:t>
            </w:r>
            <w:r>
              <w:rPr>
                <w:rStyle w:val="Style_12_ch"/>
                <w:rFonts w:ascii="Circe" w:hAnsi="Circe"/>
                <w:sz w:val="23"/>
              </w:rPr>
              <w:t>неконкурентных закупок среди МСП</w:t>
            </w:r>
          </w:p>
          <w:p w14:paraId="8C000000">
            <w:pPr>
              <w:pStyle w:val="Style_13"/>
              <w:numPr>
                <w:ilvl w:val="0"/>
                <w:numId w:val="3"/>
              </w:numPr>
              <w:rPr>
                <w:rStyle w:val="Style_12_ch"/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Электронный магазин закупок у МСП</w:t>
            </w:r>
          </w:p>
          <w:p w14:paraId="8D000000">
            <w:pPr>
              <w:pStyle w:val="Style_13"/>
              <w:numPr>
                <w:ilvl w:val="0"/>
                <w:numId w:val="3"/>
              </w:numPr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Привлечение МСП через субподряд</w:t>
            </w:r>
          </w:p>
          <w:p w14:paraId="8E000000">
            <w:pPr>
              <w:pStyle w:val="Style_13"/>
              <w:numPr>
                <w:ilvl w:val="0"/>
                <w:numId w:val="3"/>
              </w:numPr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Штрафы за просрочку оплаты по договорам с</w:t>
            </w:r>
            <w:r>
              <w:rPr>
                <w:rStyle w:val="Style_12_ch"/>
                <w:rFonts w:ascii="Circe" w:hAnsi="Circe"/>
                <w:sz w:val="23"/>
              </w:rPr>
              <w:t xml:space="preserve"> МСП</w:t>
            </w:r>
          </w:p>
          <w:p w14:paraId="8F000000">
            <w:pPr>
              <w:pStyle w:val="Style_13"/>
              <w:numPr>
                <w:ilvl w:val="0"/>
                <w:numId w:val="3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Типовые формы независимых гарантий н</w:t>
            </w:r>
            <w:r>
              <w:rPr>
                <w:rFonts w:ascii="Circe" w:hAnsi="Circe"/>
                <w:sz w:val="23"/>
              </w:rPr>
              <w:t>а участие и исполнение договора в закупках для МСП. Реестр независимых гарантий</w:t>
            </w:r>
          </w:p>
          <w:p w14:paraId="90000000">
            <w:pPr>
              <w:rPr>
                <w:rStyle w:val="Style_12_ch"/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Спецсчета</w:t>
            </w:r>
            <w:r>
              <w:rPr>
                <w:rFonts w:ascii="Circe" w:hAnsi="Circe"/>
                <w:b w:val="1"/>
                <w:sz w:val="23"/>
              </w:rPr>
              <w:t xml:space="preserve"> поставщиков </w:t>
            </w:r>
            <w:r>
              <w:rPr>
                <w:rFonts w:ascii="Circe" w:hAnsi="Circe"/>
                <w:b w:val="1"/>
                <w:sz w:val="23"/>
              </w:rPr>
              <w:t>при закупке для МСП</w:t>
            </w:r>
          </w:p>
          <w:p w14:paraId="91000000">
            <w:pPr>
              <w:pStyle w:val="Style_8"/>
              <w:widowControl w:val="1"/>
              <w:numPr>
                <w:ilvl w:val="0"/>
                <w:numId w:val="3"/>
              </w:numPr>
              <w:spacing w:line="240" w:lineRule="auto"/>
              <w:ind/>
              <w:jc w:val="both"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 xml:space="preserve">Специальные счета для поставщиков, требования к банкам и к </w:t>
            </w:r>
            <w:r>
              <w:rPr>
                <w:rStyle w:val="Style_12_ch"/>
                <w:rFonts w:ascii="Circe" w:hAnsi="Circe"/>
                <w:sz w:val="23"/>
              </w:rPr>
              <w:t>спецсчету</w:t>
            </w:r>
          </w:p>
          <w:p w14:paraId="92000000">
            <w:pPr>
              <w:pStyle w:val="Style_8"/>
              <w:widowControl w:val="1"/>
              <w:spacing w:line="240" w:lineRule="auto"/>
              <w:ind w:firstLine="0" w:left="720"/>
              <w:jc w:val="both"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Постановление Правительства РФ от 30 мая 2018 года №626 «О требованиях к договору специального счета и порядку использования имеющегося у участника закупки банковского счета в качестве специального счета, требованиях к условиям соглашения о взаимодействии оператора электронной площадки с банком, правилах взаимодействия участника закупки, оператора электронной площадки и заказчика в случае предоставления участником закупки банковской гарантии в качестве обеспечения заявки на участие в открытом конкурсе в электронной форме, конкурсе с ограниченным участием в электронной форме, двухэтапном конкурсе в электронной форме, электронном аукционе»</w:t>
            </w:r>
          </w:p>
          <w:p w14:paraId="93000000">
            <w:pPr>
              <w:pStyle w:val="Style_8"/>
              <w:widowControl w:val="1"/>
              <w:spacing w:line="240" w:lineRule="auto"/>
              <w:ind w:firstLine="0" w:left="720"/>
              <w:jc w:val="both"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 xml:space="preserve">Распоряжение Правительства РФ от 13 июля 2018 года №1451-р «Об утверждении перечня банков для открытия </w:t>
            </w:r>
            <w:r>
              <w:rPr>
                <w:rStyle w:val="Style_12_ch"/>
                <w:rFonts w:ascii="Circe" w:hAnsi="Circe"/>
                <w:sz w:val="23"/>
              </w:rPr>
              <w:t>спецсчетов</w:t>
            </w:r>
            <w:r>
              <w:rPr>
                <w:rStyle w:val="Style_12_ch"/>
                <w:rFonts w:ascii="Circe" w:hAnsi="Circe"/>
                <w:sz w:val="23"/>
              </w:rPr>
              <w:t xml:space="preserve"> для внесения денежных средств в обеспечение заявок на участие в закупках»</w:t>
            </w:r>
          </w:p>
          <w:p w14:paraId="94000000">
            <w:pPr>
              <w:pStyle w:val="Style_8"/>
              <w:widowControl w:val="1"/>
              <w:numPr>
                <w:ilvl w:val="0"/>
                <w:numId w:val="3"/>
              </w:numPr>
              <w:spacing w:line="240" w:lineRule="auto"/>
              <w:ind/>
              <w:jc w:val="both"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 xml:space="preserve">Договор </w:t>
            </w:r>
            <w:r>
              <w:rPr>
                <w:rStyle w:val="Style_12_ch"/>
                <w:rFonts w:ascii="Circe" w:hAnsi="Circe"/>
                <w:sz w:val="23"/>
              </w:rPr>
              <w:t>спецсчета</w:t>
            </w:r>
            <w:r>
              <w:rPr>
                <w:rStyle w:val="Style_12_ch"/>
                <w:rFonts w:ascii="Circe" w:hAnsi="Circe"/>
                <w:sz w:val="23"/>
              </w:rPr>
              <w:t>, основные условия для поставщиков</w:t>
            </w:r>
          </w:p>
          <w:p w14:paraId="95000000">
            <w:pPr>
              <w:pStyle w:val="Style_13"/>
              <w:numPr>
                <w:ilvl w:val="0"/>
                <w:numId w:val="3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Алгоритм действий поставщика, в случае если площадка не приняла заявку при наличии денег на </w:t>
            </w:r>
            <w:r>
              <w:rPr>
                <w:rFonts w:ascii="Circe" w:hAnsi="Circe"/>
                <w:sz w:val="23"/>
              </w:rPr>
              <w:t>спецсчете</w:t>
            </w:r>
          </w:p>
          <w:p w14:paraId="96000000">
            <w:p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Оф</w:t>
            </w:r>
            <w:r>
              <w:rPr>
                <w:rFonts w:ascii="Circe" w:hAnsi="Circe"/>
                <w:b w:val="1"/>
                <w:sz w:val="23"/>
              </w:rPr>
              <w:t>ормлени</w:t>
            </w:r>
            <w:r>
              <w:rPr>
                <w:rFonts w:ascii="Circe" w:hAnsi="Circe"/>
                <w:b w:val="1"/>
                <w:sz w:val="23"/>
              </w:rPr>
              <w:t>е</w:t>
            </w:r>
            <w:r>
              <w:rPr>
                <w:rFonts w:ascii="Circe" w:hAnsi="Circe"/>
                <w:b w:val="1"/>
                <w:sz w:val="23"/>
              </w:rPr>
              <w:t xml:space="preserve"> заявки участника закупки</w:t>
            </w:r>
          </w:p>
          <w:p w14:paraId="97000000">
            <w:pPr>
              <w:numPr>
                <w:ilvl w:val="0"/>
                <w:numId w:val="3"/>
              </w:numPr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Форма предоставления заявки: электронная (через площадку), бумажная</w:t>
            </w:r>
          </w:p>
          <w:p w14:paraId="98000000">
            <w:pPr>
              <w:numPr>
                <w:ilvl w:val="0"/>
                <w:numId w:val="3"/>
              </w:numPr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Специфика бумажной формы подачи заявки: порядок заверения документов участником (простое, нотариальное), прошивки листов, нумерации страниц</w:t>
            </w:r>
            <w:r>
              <w:rPr>
                <w:rFonts w:ascii="Circe" w:hAnsi="Circe"/>
                <w:sz w:val="23"/>
              </w:rPr>
              <w:t>, оформления копий заявок</w:t>
            </w:r>
          </w:p>
          <w:p w14:paraId="99000000">
            <w:pPr>
              <w:numPr>
                <w:ilvl w:val="0"/>
                <w:numId w:val="3"/>
              </w:numPr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 электронной формы подачи заявки, сканированные и подписанные ключами ЭЦП документы. Варианты заключения договоров на ЭП/вне ЭП</w:t>
            </w:r>
          </w:p>
          <w:p w14:paraId="9A000000">
            <w:pPr>
              <w:pStyle w:val="Style_13"/>
              <w:numPr>
                <w:ilvl w:val="0"/>
                <w:numId w:val="3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Формы для заполнения, применяемые </w:t>
            </w:r>
            <w:r>
              <w:rPr>
                <w:rFonts w:ascii="Circe" w:hAnsi="Circe"/>
                <w:sz w:val="23"/>
              </w:rPr>
              <w:t>заказчиками,  включая</w:t>
            </w:r>
            <w:r>
              <w:rPr>
                <w:rFonts w:ascii="Circe" w:hAnsi="Circe"/>
                <w:sz w:val="23"/>
              </w:rPr>
              <w:t xml:space="preserve"> строгое расположение электронных папок в составе заявки</w:t>
            </w:r>
          </w:p>
          <w:p w14:paraId="9B000000">
            <w:pPr>
              <w:pStyle w:val="Style_13"/>
              <w:numPr>
                <w:ilvl w:val="0"/>
                <w:numId w:val="3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Инструкции по подготовке заявки, применяемые заказчиками</w:t>
            </w:r>
          </w:p>
          <w:p w14:paraId="9C000000">
            <w:pPr>
              <w:pStyle w:val="Style_13"/>
              <w:numPr>
                <w:ilvl w:val="0"/>
                <w:numId w:val="3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Типичные ошибки поставщиков в оформлении заявок</w:t>
            </w:r>
          </w:p>
          <w:p w14:paraId="9D000000">
            <w:pPr>
              <w:pStyle w:val="Style_8"/>
              <w:widowControl w:val="1"/>
              <w:spacing w:line="240" w:lineRule="auto"/>
              <w:ind/>
              <w:rPr>
                <w:rStyle w:val="Style_12_ch"/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sz w:val="23"/>
              </w:rPr>
              <w:t xml:space="preserve"> 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>Требования к обеспечению заявок</w:t>
            </w:r>
          </w:p>
          <w:p w14:paraId="9E000000">
            <w:pPr>
              <w:pStyle w:val="Style_8"/>
              <w:widowControl w:val="1"/>
              <w:numPr>
                <w:ilvl w:val="0"/>
                <w:numId w:val="3"/>
              </w:numPr>
              <w:spacing w:line="240" w:lineRule="auto"/>
              <w:ind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Требования к обеспечению заявок по конкурентной закупке в соответствии с частями 25-27 статьи 3.2 223-ФЗ</w:t>
            </w:r>
          </w:p>
          <w:p w14:paraId="9F000000">
            <w:pPr>
              <w:pStyle w:val="Style_8"/>
              <w:widowControl w:val="1"/>
              <w:numPr>
                <w:ilvl w:val="0"/>
                <w:numId w:val="3"/>
              </w:numPr>
              <w:spacing w:line="240" w:lineRule="auto"/>
              <w:ind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Регламентированный размер обеспечения заявки по конкурентной закупке</w:t>
            </w:r>
          </w:p>
          <w:p w14:paraId="A0000000">
            <w:pPr>
              <w:pStyle w:val="Style_8"/>
              <w:widowControl w:val="1"/>
              <w:numPr>
                <w:ilvl w:val="0"/>
                <w:numId w:val="3"/>
              </w:numPr>
              <w:spacing w:line="240" w:lineRule="auto"/>
              <w:ind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Право выбора за поставщиком способа предоставления обеспечения заявки – денежными средствами или банковской гарантией по конкурентной закупке</w:t>
            </w:r>
          </w:p>
          <w:p w14:paraId="A1000000">
            <w:pPr>
              <w:pStyle w:val="Style_8"/>
              <w:widowControl w:val="1"/>
              <w:numPr>
                <w:ilvl w:val="0"/>
                <w:numId w:val="3"/>
              </w:numPr>
              <w:spacing w:line="240" w:lineRule="auto"/>
              <w:ind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Обеспечительные платежи (депозиты) на электронных площадках</w:t>
            </w:r>
          </w:p>
          <w:p w14:paraId="A2000000">
            <w:pPr>
              <w:pStyle w:val="Style_8"/>
              <w:widowControl w:val="1"/>
              <w:numPr>
                <w:ilvl w:val="0"/>
                <w:numId w:val="3"/>
              </w:numPr>
              <w:spacing w:line="240" w:lineRule="auto"/>
              <w:ind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Особенности обеспечения заявки, в случае применения заказчиком неконкурентной закупки. Случаи предоставления обеспечения заявки на электронную площадку</w:t>
            </w:r>
          </w:p>
          <w:p w14:paraId="A3000000">
            <w:pPr>
              <w:pStyle w:val="Style_8"/>
              <w:widowControl w:val="1"/>
              <w:numPr>
                <w:ilvl w:val="0"/>
                <w:numId w:val="3"/>
              </w:numPr>
              <w:spacing w:line="240" w:lineRule="auto"/>
              <w:ind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В каких случаях не производится возврат обеспечения заявки поставщику</w:t>
            </w:r>
          </w:p>
          <w:p w14:paraId="A4000000">
            <w:pPr>
              <w:pStyle w:val="Style_8"/>
              <w:widowControl w:val="1"/>
              <w:numPr>
                <w:ilvl w:val="0"/>
                <w:numId w:val="3"/>
              </w:numPr>
              <w:spacing w:line="240" w:lineRule="auto"/>
              <w:ind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Порядок возврата обеспечения заявки в виде денежных средств</w:t>
            </w:r>
          </w:p>
          <w:p w14:paraId="A5000000">
            <w:pPr>
              <w:pStyle w:val="Style_8"/>
              <w:widowControl w:val="1"/>
              <w:numPr>
                <w:ilvl w:val="0"/>
                <w:numId w:val="3"/>
              </w:numPr>
              <w:spacing w:line="240" w:lineRule="auto"/>
              <w:ind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Трудности и ошибки поставщиков в вопросах обеспечения заявки</w:t>
            </w:r>
          </w:p>
          <w:p w14:paraId="A6000000">
            <w:pPr>
              <w:pStyle w:val="Style_8"/>
              <w:widowControl w:val="1"/>
              <w:spacing w:line="240" w:lineRule="auto"/>
              <w:ind/>
              <w:rPr>
                <w:rStyle w:val="Style_12_ch"/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sz w:val="23"/>
              </w:rPr>
              <w:t xml:space="preserve"> 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>Требования к обеспечению исполнения договора</w:t>
            </w:r>
          </w:p>
          <w:p w14:paraId="A7000000">
            <w:pPr>
              <w:pStyle w:val="Style_8"/>
              <w:widowControl w:val="1"/>
              <w:numPr>
                <w:ilvl w:val="0"/>
                <w:numId w:val="3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 предоставления обеспечения исполнения договора</w:t>
            </w:r>
          </w:p>
          <w:p w14:paraId="A8000000">
            <w:pPr>
              <w:pStyle w:val="Style_8"/>
              <w:widowControl w:val="1"/>
              <w:numPr>
                <w:ilvl w:val="0"/>
                <w:numId w:val="3"/>
              </w:numPr>
              <w:spacing w:line="240" w:lineRule="auto"/>
              <w:ind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Требования к размеру обеспечения исполнения договора, к форме и способу предоставления</w:t>
            </w:r>
          </w:p>
          <w:p w14:paraId="A9000000">
            <w:pPr>
              <w:pStyle w:val="Style_8"/>
              <w:widowControl w:val="1"/>
              <w:numPr>
                <w:ilvl w:val="0"/>
                <w:numId w:val="3"/>
              </w:numPr>
              <w:spacing w:line="240" w:lineRule="auto"/>
              <w:ind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Требования к банкам и макетам банковских гарантий со стороны заказчиков</w:t>
            </w:r>
          </w:p>
          <w:p w14:paraId="AA000000">
            <w:pPr>
              <w:pStyle w:val="Style_13"/>
              <w:numPr>
                <w:ilvl w:val="0"/>
                <w:numId w:val="3"/>
              </w:numPr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Возможность при</w:t>
            </w:r>
            <w:bookmarkStart w:id="1" w:name="_GoBack"/>
            <w:bookmarkEnd w:id="1"/>
            <w:r>
              <w:rPr>
                <w:rStyle w:val="Style_12_ch"/>
                <w:rFonts w:ascii="Circe" w:hAnsi="Circe"/>
                <w:sz w:val="23"/>
              </w:rPr>
              <w:t xml:space="preserve">менения антидемпинговых мер </w:t>
            </w:r>
          </w:p>
          <w:p w14:paraId="AB000000">
            <w:pPr>
              <w:pStyle w:val="Style_13"/>
              <w:numPr>
                <w:ilvl w:val="0"/>
                <w:numId w:val="3"/>
              </w:numPr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Типовые формы гарантий на участие и исполнения договора в закупках для МСП</w:t>
            </w:r>
          </w:p>
          <w:p w14:paraId="AC000000">
            <w:pPr>
              <w:pStyle w:val="Style_13"/>
              <w:ind w:firstLine="0" w:left="0"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Постановление Правительства РФ от 9 августа 2022 года №1397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Правительства Российской Федерации»</w:t>
            </w:r>
          </w:p>
          <w:p w14:paraId="AD000000">
            <w:pPr>
              <w:pStyle w:val="Style_13"/>
              <w:numPr>
                <w:ilvl w:val="0"/>
                <w:numId w:val="3"/>
              </w:numPr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Порядок согласования макетов банковских гарантий с заказчиком. Типичные ошибки поставщиков</w:t>
            </w:r>
          </w:p>
          <w:p w14:paraId="AE000000">
            <w:pPr>
              <w:pStyle w:val="Style_13"/>
              <w:numPr>
                <w:ilvl w:val="0"/>
                <w:numId w:val="3"/>
              </w:numPr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Случаи предоставления обеспечения на этапе исполнения договора</w:t>
            </w:r>
            <w:r>
              <w:rPr>
                <w:rStyle w:val="Style_12_ch"/>
                <w:rFonts w:ascii="Circe" w:hAnsi="Circe"/>
                <w:sz w:val="23"/>
              </w:rPr>
              <w:t>, продления срока действия обеспечения. Практика уменьшения обеспечения на этапе исполнения договора</w:t>
            </w:r>
          </w:p>
          <w:p w14:paraId="AF000000">
            <w:pPr>
              <w:pStyle w:val="Style_13"/>
              <w:numPr>
                <w:ilvl w:val="0"/>
                <w:numId w:val="3"/>
              </w:numPr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Реестр независим</w:t>
            </w:r>
            <w:r>
              <w:rPr>
                <w:rStyle w:val="Style_12_ch"/>
                <w:rFonts w:ascii="Circe" w:hAnsi="Circe"/>
                <w:sz w:val="23"/>
              </w:rPr>
              <w:t>ых гарантий в закупках. В каких случаях гарантия не размещается в реестре?</w:t>
            </w:r>
          </w:p>
          <w:p w14:paraId="B0000000">
            <w:pPr>
              <w:pStyle w:val="Style_13"/>
              <w:numPr>
                <w:ilvl w:val="0"/>
                <w:numId w:val="3"/>
              </w:numPr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Типичные ошибки поставщиков в решении вопроса обеспечения исполнения договора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B100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15:20-15:4</w:t>
            </w:r>
            <w:r>
              <w:rPr>
                <w:rStyle w:val="Style_11_ch"/>
                <w:rFonts w:ascii="Circe" w:hAnsi="Circe"/>
                <w:sz w:val="20"/>
              </w:rPr>
              <w:t>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B2000000">
            <w:pPr>
              <w:pStyle w:val="Style_8"/>
              <w:widowControl w:val="1"/>
              <w:spacing w:line="240" w:lineRule="auto"/>
              <w:ind/>
              <w:rPr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>Кофе-брейк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B300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15:40-17:00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B4000000">
            <w:pPr>
              <w:pStyle w:val="Style_14"/>
              <w:widowControl w:val="1"/>
              <w:tabs>
                <w:tab w:leader="none" w:pos="468" w:val="left"/>
              </w:tabs>
              <w:spacing w:line="240" w:lineRule="auto"/>
              <w:ind w:firstLine="0" w:left="0"/>
              <w:jc w:val="both"/>
              <w:rPr>
                <w:rFonts w:ascii="Circe" w:hAnsi="Circe"/>
                <w:color w:val="000000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 xml:space="preserve">Реестр договоров </w:t>
            </w:r>
          </w:p>
          <w:p w14:paraId="B5000000">
            <w:pPr>
              <w:widowControl w:val="1"/>
              <w:numPr>
                <w:ilvl w:val="0"/>
                <w:numId w:val="5"/>
              </w:numPr>
              <w:tabs>
                <w:tab w:leader="none" w:pos="461" w:val="left"/>
              </w:tabs>
              <w:ind w:hanging="357" w:left="714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Порядок ведения реестра договоров</w:t>
            </w:r>
          </w:p>
          <w:p w14:paraId="B6000000">
            <w:pPr>
              <w:widowControl w:val="1"/>
              <w:tabs>
                <w:tab w:leader="none" w:pos="461" w:val="left"/>
              </w:tabs>
              <w:ind w:hanging="357" w:left="714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      </w:t>
            </w:r>
            <w:r>
              <w:rPr>
                <w:rFonts w:ascii="Circe" w:hAnsi="Circe"/>
                <w:sz w:val="23"/>
              </w:rPr>
              <w:t>Постановление Правительства РФ от 31 октября 2014г. №1132 «О порядке ведения реестра договоров, заключенных заказчиками по результатам закупки»</w:t>
            </w:r>
          </w:p>
          <w:p w14:paraId="B7000000">
            <w:pPr>
              <w:pStyle w:val="Style_13"/>
              <w:numPr>
                <w:ilvl w:val="0"/>
                <w:numId w:val="5"/>
              </w:numPr>
              <w:tabs>
                <w:tab w:leader="none" w:pos="461" w:val="left"/>
              </w:tabs>
              <w:spacing w:after="0"/>
              <w:ind w:hanging="357" w:left="714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В</w:t>
            </w:r>
            <w:r>
              <w:rPr>
                <w:rFonts w:ascii="Circe" w:hAnsi="Circe"/>
                <w:sz w:val="23"/>
              </w:rPr>
              <w:t xml:space="preserve"> договор при его заключении включается информация о стране происхождения товара</w:t>
            </w:r>
            <w:r>
              <w:rPr>
                <w:rFonts w:ascii="Circe" w:hAnsi="Circe"/>
                <w:sz w:val="23"/>
              </w:rPr>
              <w:t xml:space="preserve"> в соответствии с Федеральным законом от 31 июля 2020 года №250-ФЗ</w:t>
            </w:r>
          </w:p>
          <w:p w14:paraId="B8000000">
            <w:pPr>
              <w:widowControl w:val="1"/>
              <w:numPr>
                <w:ilvl w:val="0"/>
                <w:numId w:val="5"/>
              </w:numPr>
              <w:tabs>
                <w:tab w:leader="none" w:pos="461" w:val="left"/>
              </w:tabs>
              <w:ind w:hanging="357" w:left="714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color w:val="000000"/>
                <w:sz w:val="23"/>
              </w:rPr>
              <w:t>Требования к документам для  реестра договоров при заключении, изменении, расторжении и исполнении договоров.  Сроки предоставления документов, в том числе в случае поэтапного действия договора</w:t>
            </w:r>
          </w:p>
          <w:p w14:paraId="B9000000">
            <w:pPr>
              <w:widowControl w:val="1"/>
              <w:numPr>
                <w:ilvl w:val="0"/>
                <w:numId w:val="5"/>
              </w:numPr>
              <w:tabs>
                <w:tab w:leader="none" w:pos="461" w:val="left"/>
              </w:tabs>
              <w:ind w:hanging="357" w:left="714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color w:val="000000"/>
                <w:sz w:val="23"/>
              </w:rPr>
              <w:t xml:space="preserve">Условия, при которых заказчик вправе не размещать информацию в реестре договоров </w:t>
            </w:r>
          </w:p>
          <w:p w14:paraId="BA000000">
            <w:pPr>
              <w:widowControl w:val="1"/>
              <w:numPr>
                <w:ilvl w:val="0"/>
                <w:numId w:val="5"/>
              </w:numPr>
              <w:tabs>
                <w:tab w:leader="none" w:pos="461" w:val="left"/>
              </w:tabs>
              <w:ind w:hanging="357" w:left="714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color w:val="000000"/>
                <w:sz w:val="23"/>
              </w:rPr>
              <w:t>Случаи, при которых заказчик размещает информацию в реестре договоров не в полном объеме</w:t>
            </w:r>
          </w:p>
          <w:p w14:paraId="BB000000">
            <w:pPr>
              <w:widowControl w:val="1"/>
              <w:numPr>
                <w:ilvl w:val="0"/>
                <w:numId w:val="5"/>
              </w:numPr>
              <w:ind w:hanging="357" w:left="714"/>
              <w:jc w:val="both"/>
              <w:rPr>
                <w:rFonts w:ascii="Circe" w:hAnsi="Circe"/>
                <w:color w:val="000000"/>
                <w:sz w:val="23"/>
              </w:rPr>
            </w:pPr>
            <w:r>
              <w:rPr>
                <w:rFonts w:ascii="Circe" w:hAnsi="Circe"/>
                <w:color w:val="000000"/>
                <w:sz w:val="23"/>
              </w:rPr>
              <w:t xml:space="preserve">Включение информации и документов об исполнении договора в реестр договоров:  по факту приемки товаров, работ, услуг, по факту оплаты по договору, по факту исполнения договора </w:t>
            </w:r>
          </w:p>
          <w:p w14:paraId="BC000000">
            <w:pPr>
              <w:widowControl w:val="1"/>
              <w:numPr>
                <w:ilvl w:val="0"/>
                <w:numId w:val="5"/>
              </w:numPr>
              <w:ind w:hanging="357" w:left="714"/>
              <w:rPr>
                <w:rFonts w:ascii="Circe" w:hAnsi="Circe"/>
                <w:color w:val="000000"/>
                <w:sz w:val="23"/>
              </w:rPr>
            </w:pPr>
            <w:r>
              <w:rPr>
                <w:rFonts w:ascii="Circe" w:hAnsi="Circe"/>
                <w:color w:val="000000"/>
                <w:sz w:val="23"/>
              </w:rPr>
              <w:t>Порядок внесения изменений в договор, в том числе указание его оплаты, документов, подтверждающих расторжение договора, с указанием оснований его расторжения, а также копии заключенного договора</w:t>
            </w:r>
          </w:p>
          <w:p w14:paraId="BD000000">
            <w:pPr>
              <w:widowControl w:val="1"/>
              <w:tabs>
                <w:tab w:leader="none" w:pos="461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color w:val="000000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Заключение договора</w:t>
            </w:r>
          </w:p>
          <w:p w14:paraId="BE000000">
            <w:pPr>
              <w:widowControl w:val="1"/>
              <w:numPr>
                <w:ilvl w:val="0"/>
                <w:numId w:val="5"/>
              </w:numPr>
              <w:tabs>
                <w:tab w:leader="none" w:pos="461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Порядок заключения (подписания) договора</w:t>
            </w:r>
            <w:r>
              <w:rPr>
                <w:rFonts w:ascii="Circe" w:hAnsi="Circe"/>
                <w:sz w:val="23"/>
              </w:rPr>
              <w:t xml:space="preserve"> по конкурентным и неконкурентным закупкам</w:t>
            </w:r>
            <w:r>
              <w:rPr>
                <w:rFonts w:ascii="Circe" w:hAnsi="Circe"/>
                <w:sz w:val="23"/>
              </w:rPr>
              <w:t xml:space="preserve">: сроки </w:t>
            </w:r>
            <w:r>
              <w:rPr>
                <w:rFonts w:ascii="Circe" w:hAnsi="Circe"/>
                <w:sz w:val="23"/>
              </w:rPr>
              <w:t xml:space="preserve">и очередность </w:t>
            </w:r>
            <w:r>
              <w:rPr>
                <w:rFonts w:ascii="Circe" w:hAnsi="Circe"/>
                <w:sz w:val="23"/>
              </w:rPr>
              <w:t xml:space="preserve">заключения, </w:t>
            </w:r>
            <w:r>
              <w:rPr>
                <w:rFonts w:ascii="Circe" w:hAnsi="Circe"/>
                <w:sz w:val="23"/>
              </w:rPr>
              <w:t xml:space="preserve">форма </w:t>
            </w:r>
            <w:r>
              <w:rPr>
                <w:rFonts w:ascii="Circe" w:hAnsi="Circe"/>
                <w:sz w:val="23"/>
              </w:rPr>
              <w:t>заключения</w:t>
            </w:r>
          </w:p>
          <w:p w14:paraId="BF000000">
            <w:pPr>
              <w:widowControl w:val="1"/>
              <w:numPr>
                <w:ilvl w:val="0"/>
                <w:numId w:val="5"/>
              </w:numPr>
              <w:tabs>
                <w:tab w:leader="none" w:pos="461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В</w:t>
            </w:r>
            <w:r>
              <w:rPr>
                <w:rFonts w:ascii="Circe" w:hAnsi="Circe"/>
                <w:sz w:val="23"/>
              </w:rPr>
              <w:t>озможность внесения протоколов разногласий</w:t>
            </w:r>
            <w:r>
              <w:rPr>
                <w:rFonts w:ascii="Circe" w:hAnsi="Circe"/>
                <w:sz w:val="23"/>
              </w:rPr>
              <w:t xml:space="preserve"> поставщиками по закупкам среди МСП</w:t>
            </w:r>
          </w:p>
          <w:p w14:paraId="C0000000">
            <w:pPr>
              <w:widowControl w:val="1"/>
              <w:numPr>
                <w:ilvl w:val="0"/>
                <w:numId w:val="5"/>
              </w:numPr>
              <w:tabs>
                <w:tab w:leader="none" w:pos="461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Установление предельного срока оплаты по всем договорам</w:t>
            </w:r>
          </w:p>
          <w:p w14:paraId="C1000000">
            <w:pPr>
              <w:widowControl w:val="1"/>
              <w:numPr>
                <w:ilvl w:val="0"/>
                <w:numId w:val="5"/>
              </w:numPr>
              <w:tabs>
                <w:tab w:leader="none" w:pos="461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Практика применения цессии  - п</w:t>
            </w:r>
            <w:r>
              <w:rPr>
                <w:rFonts w:ascii="Circe" w:hAnsi="Circe"/>
                <w:sz w:val="23"/>
              </w:rPr>
              <w:t>раво поставщика уступить денежные требования по договору</w:t>
            </w:r>
          </w:p>
          <w:p w14:paraId="C2000000">
            <w:pPr>
              <w:numPr>
                <w:ilvl w:val="0"/>
                <w:numId w:val="5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Типы договоров, применяемые заказчиками</w:t>
            </w:r>
            <w:r>
              <w:rPr>
                <w:rFonts w:ascii="Circe" w:hAnsi="Circe"/>
                <w:sz w:val="23"/>
              </w:rPr>
              <w:t>. Возможность заключения договора с несколькими участниками</w:t>
            </w:r>
          </w:p>
          <w:p w14:paraId="C3000000">
            <w:pPr>
              <w:numPr>
                <w:ilvl w:val="0"/>
                <w:numId w:val="5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Поставка товаров, выполнение работ, оказание услуг поставщиком до момента заключения договора</w:t>
            </w:r>
          </w:p>
          <w:p w14:paraId="C4000000">
            <w:pPr>
              <w:numPr>
                <w:ilvl w:val="0"/>
                <w:numId w:val="5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Рамочные договоры  в практике  223-ФЗ (договор с неопределенными объемами и ценой, договор с открытыми условиями, договор с указанием ассортимента, цены за единицу продукции, договор с установлением формулы цены)</w:t>
            </w:r>
          </w:p>
          <w:p w14:paraId="C5000000">
            <w:pPr>
              <w:widowControl w:val="1"/>
              <w:numPr>
                <w:ilvl w:val="0"/>
                <w:numId w:val="5"/>
              </w:numPr>
              <w:spacing w:afterAutospacing="on" w:beforeAutospacing="on" w:line="270" w:lineRule="atLeast"/>
              <w:ind/>
              <w:contextualSpacing w:val="1"/>
              <w:jc w:val="both"/>
              <w:rPr>
                <w:rFonts w:ascii="Circe" w:hAnsi="Circe"/>
                <w:color w:val="000000"/>
                <w:sz w:val="23"/>
              </w:rPr>
            </w:pPr>
            <w:r>
              <w:rPr>
                <w:rFonts w:ascii="Circe" w:hAnsi="Circe"/>
                <w:color w:val="000000"/>
                <w:sz w:val="23"/>
              </w:rPr>
              <w:t>Примеры установления в проекте договора запрета на привлечение к исполнению договора субподрядчика</w:t>
            </w:r>
          </w:p>
          <w:p w14:paraId="C6000000">
            <w:pPr>
              <w:widowControl w:val="1"/>
              <w:numPr>
                <w:ilvl w:val="0"/>
                <w:numId w:val="5"/>
              </w:numPr>
              <w:spacing w:afterAutospacing="on" w:beforeAutospacing="on" w:line="270" w:lineRule="atLeast"/>
              <w:ind/>
              <w:contextualSpacing w:val="1"/>
              <w:jc w:val="both"/>
              <w:rPr>
                <w:rFonts w:ascii="Circe" w:hAnsi="Circe"/>
                <w:color w:val="000000"/>
                <w:sz w:val="23"/>
              </w:rPr>
            </w:pPr>
            <w:r>
              <w:rPr>
                <w:rFonts w:ascii="Circe" w:hAnsi="Circe"/>
                <w:color w:val="000000"/>
                <w:sz w:val="23"/>
              </w:rPr>
              <w:t>Заключение договора с поставщиком, который применят упрощенную систему налогообложения. Злоупотребления заказчиков</w:t>
            </w:r>
          </w:p>
          <w:p w14:paraId="C7000000">
            <w:pPr>
              <w:widowControl w:val="1"/>
              <w:numPr>
                <w:ilvl w:val="0"/>
                <w:numId w:val="5"/>
              </w:numPr>
              <w:spacing w:afterAutospacing="on" w:beforeAutospacing="on" w:line="270" w:lineRule="atLeast"/>
              <w:ind/>
              <w:contextualSpacing w:val="1"/>
              <w:jc w:val="both"/>
              <w:rPr>
                <w:rFonts w:ascii="Circe" w:hAnsi="Circe"/>
                <w:color w:val="000000"/>
                <w:sz w:val="23"/>
              </w:rPr>
            </w:pPr>
            <w:r>
              <w:rPr>
                <w:rFonts w:ascii="Circe" w:hAnsi="Circe"/>
                <w:color w:val="000000"/>
                <w:sz w:val="23"/>
              </w:rPr>
              <w:t xml:space="preserve">Срок действия договора по 223-ФЗ, возможность пролонгации. Позиция ФАС </w:t>
            </w:r>
          </w:p>
          <w:p w14:paraId="C8000000">
            <w:pPr>
              <w:widowControl w:val="1"/>
              <w:numPr>
                <w:ilvl w:val="0"/>
                <w:numId w:val="5"/>
              </w:numPr>
              <w:spacing w:afterAutospacing="on" w:beforeAutospacing="on" w:line="270" w:lineRule="atLeast"/>
              <w:ind/>
              <w:contextualSpacing w:val="1"/>
              <w:jc w:val="both"/>
              <w:rPr>
                <w:rFonts w:ascii="Circe" w:hAnsi="Circe"/>
                <w:color w:val="000000"/>
                <w:sz w:val="23"/>
              </w:rPr>
            </w:pPr>
            <w:r>
              <w:rPr>
                <w:rFonts w:ascii="Circe" w:hAnsi="Circe"/>
                <w:sz w:val="23"/>
              </w:rPr>
              <w:t>Отдельные аспекты определения (взимания) неустойки в рамках договоров</w:t>
            </w:r>
          </w:p>
          <w:p w14:paraId="C9000000">
            <w:pPr>
              <w:widowControl w:val="1"/>
              <w:numPr>
                <w:ilvl w:val="0"/>
                <w:numId w:val="5"/>
              </w:numPr>
              <w:spacing w:afterAutospacing="on" w:beforeAutospacing="on" w:line="270" w:lineRule="atLeast"/>
              <w:ind/>
              <w:contextualSpacing w:val="1"/>
              <w:jc w:val="both"/>
              <w:rPr>
                <w:rFonts w:ascii="Circe" w:hAnsi="Circe"/>
                <w:color w:val="000000"/>
                <w:sz w:val="23"/>
              </w:rPr>
            </w:pPr>
            <w:r>
              <w:rPr>
                <w:rFonts w:ascii="Circe" w:hAnsi="Circe"/>
                <w:sz w:val="23"/>
              </w:rPr>
              <w:t>Дополнительные соглашения к договорам, заключенных в рамках 223-ФЗ</w:t>
            </w:r>
          </w:p>
          <w:p w14:paraId="CA000000">
            <w:pPr>
              <w:widowControl w:val="1"/>
              <w:tabs>
                <w:tab w:leader="none" w:pos="461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color w:val="000000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Исполнение договора</w:t>
            </w:r>
          </w:p>
          <w:p w14:paraId="CB000000">
            <w:pPr>
              <w:numPr>
                <w:ilvl w:val="0"/>
                <w:numId w:val="5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Алгоритм приемки товаров, работ и услуг со стороны Заказчика. Порядок разрешения споров и конфликтных ситуаций, возникающих  при поставке товаров, выполнении работ и оказании услуг</w:t>
            </w:r>
          </w:p>
          <w:p w14:paraId="CC000000">
            <w:pPr>
              <w:numPr>
                <w:ilvl w:val="0"/>
                <w:numId w:val="5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Установление мер ответственности за нарушение условий договора (штрафы, пени)</w:t>
            </w:r>
          </w:p>
          <w:p w14:paraId="CD000000">
            <w:pPr>
              <w:numPr>
                <w:ilvl w:val="0"/>
                <w:numId w:val="5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Привлечение экспертов при приемке товаров, работ и услуг</w:t>
            </w:r>
          </w:p>
          <w:p w14:paraId="CE000000">
            <w:p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Расторжение договора</w:t>
            </w:r>
          </w:p>
          <w:p w14:paraId="CF000000">
            <w:pPr>
              <w:numPr>
                <w:ilvl w:val="0"/>
                <w:numId w:val="5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Порядок расторжения договора в соответствии с требованиями действующего законодательства: по соглашению сторон, в одностороннем порядке, по решению суда</w:t>
            </w:r>
          </w:p>
          <w:p w14:paraId="D0000000">
            <w:pPr>
              <w:numPr>
                <w:ilvl w:val="0"/>
                <w:numId w:val="5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Возможность одностороннего расторжения договора. </w:t>
            </w:r>
          </w:p>
          <w:p w14:paraId="D1000000">
            <w:pPr>
              <w:numPr>
                <w:ilvl w:val="0"/>
                <w:numId w:val="5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Обзор и анализ оснований для одностороннего отказа от исполнения договора, предусмотренных Гражданским кодексом</w:t>
            </w:r>
          </w:p>
          <w:p w14:paraId="D2000000">
            <w:pPr>
              <w:numPr>
                <w:ilvl w:val="0"/>
                <w:numId w:val="5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Примеры формулировок со стороны заказчиков об одностороннем отказе от исполнения договора</w:t>
            </w:r>
          </w:p>
          <w:p w14:paraId="D3000000">
            <w:pPr>
              <w:numPr>
                <w:ilvl w:val="0"/>
                <w:numId w:val="5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Обоснование и порядок оформления одностороннего отказа заказчика от исполнения договора</w:t>
            </w:r>
          </w:p>
          <w:p w14:paraId="D4000000">
            <w:pPr>
              <w:numPr>
                <w:ilvl w:val="0"/>
                <w:numId w:val="5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color w:val="000000"/>
                <w:sz w:val="23"/>
              </w:rPr>
              <w:t>Возможность установления платы за односторонний отказ от исполнения обязательства</w:t>
            </w:r>
          </w:p>
          <w:p w14:paraId="D5000000">
            <w:pPr>
              <w:numPr>
                <w:ilvl w:val="0"/>
                <w:numId w:val="5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Типичные ошибки при расторжении договора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D600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17:00-17:45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D7000000">
            <w:pPr>
              <w:pStyle w:val="Style_14"/>
              <w:widowControl w:val="1"/>
              <w:tabs>
                <w:tab w:leader="none" w:pos="461" w:val="left"/>
              </w:tabs>
              <w:spacing w:line="240" w:lineRule="auto"/>
              <w:ind w:firstLine="0" w:left="0"/>
              <w:jc w:val="both"/>
              <w:rPr>
                <w:rStyle w:val="Style_12_ch"/>
                <w:rFonts w:ascii="Circe" w:hAnsi="Circe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Система контроля в сфере закупок по ФЗ-223. Антимонопольное регулирование закупок</w:t>
            </w:r>
          </w:p>
          <w:p w14:paraId="D8000000">
            <w:pPr>
              <w:pStyle w:val="Style_14"/>
              <w:widowControl w:val="1"/>
              <w:numPr>
                <w:ilvl w:val="0"/>
                <w:numId w:val="5"/>
              </w:numPr>
              <w:tabs>
                <w:tab w:leader="none" w:pos="461" w:val="left"/>
              </w:tabs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Обжалование закупочных процедур. Ответственность за неприменение Федерального закона от 18.07.2011г.  № 223-ФЗ, за сокрытие информации о проводимых закупках</w:t>
            </w:r>
          </w:p>
          <w:p w14:paraId="D9000000">
            <w:pPr>
              <w:numPr>
                <w:ilvl w:val="0"/>
                <w:numId w:val="5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Функции и полномочия Федеральной антимонопольной службы в сфере нарушения законодательства по корпоративным закупкам</w:t>
            </w:r>
          </w:p>
          <w:p w14:paraId="DA000000">
            <w:pPr>
              <w:pStyle w:val="Style_14"/>
              <w:widowControl w:val="1"/>
              <w:numPr>
                <w:ilvl w:val="0"/>
                <w:numId w:val="5"/>
              </w:numPr>
              <w:tabs>
                <w:tab w:leader="none" w:pos="461" w:val="left"/>
              </w:tabs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Реестр недобросовестных поставщиков по 223-ФЗ</w:t>
            </w:r>
          </w:p>
          <w:p w14:paraId="DB000000">
            <w:pPr>
              <w:numPr>
                <w:ilvl w:val="0"/>
                <w:numId w:val="5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Обжалование закупочных процедур. Сроки, порядок подачи и содержание жалобы, процедура рассмотрения. Отличия от 44-ФЗ</w:t>
            </w:r>
          </w:p>
          <w:p w14:paraId="DC000000">
            <w:pPr>
              <w:numPr>
                <w:ilvl w:val="0"/>
                <w:numId w:val="5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Основные нарушения, допускаемые заказчиками по 223-ФЗ. Основные подходы антимонопольных органов к привлечению должностных лиц заказчиков, членов комиссий к административной ответственности в сфере закупок</w:t>
            </w:r>
          </w:p>
          <w:p w14:paraId="DD000000">
            <w:pPr>
              <w:pStyle w:val="Style_14"/>
              <w:widowControl w:val="1"/>
              <w:numPr>
                <w:ilvl w:val="0"/>
                <w:numId w:val="5"/>
              </w:numPr>
              <w:tabs>
                <w:tab w:leader="none" w:pos="461" w:val="left"/>
              </w:tabs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Анализ сложившейся практики привлечения к административной ответственности организаторов закупки в случаях: </w:t>
            </w:r>
            <w:r>
              <w:rPr>
                <w:rFonts w:ascii="Circe" w:hAnsi="Circe"/>
                <w:sz w:val="23"/>
              </w:rPr>
              <w:t>невыполнение в установленный срок законного решения или предписания; нарушение предусмотренных №223-ФЗ и Положением о закупке сроков размещения информации на официальном сайте; несоблюдение требований к содержанию извещений и закупочных документаций; предъявление незаконных требований к участникам закупок; оценка и сопоставление заявок на участие в закупке по критериям и в порядке, которые не указаны в документации о закупке</w:t>
            </w:r>
          </w:p>
          <w:p w14:paraId="DE000000">
            <w:pPr>
              <w:pStyle w:val="Style_14"/>
              <w:widowControl w:val="1"/>
              <w:numPr>
                <w:ilvl w:val="0"/>
                <w:numId w:val="5"/>
              </w:numPr>
              <w:tabs>
                <w:tab w:leader="none" w:pos="461" w:val="left"/>
              </w:tabs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Анализ основных ошибок участников закупок при обжаловании действий организаторов закупки</w:t>
            </w:r>
          </w:p>
          <w:p w14:paraId="DF000000">
            <w:pPr>
              <w:numPr>
                <w:ilvl w:val="0"/>
                <w:numId w:val="5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Административный регламент ФАС от 25.05.2012 №339</w:t>
            </w:r>
          </w:p>
          <w:p w14:paraId="E0000000">
            <w:pPr>
              <w:numPr>
                <w:ilvl w:val="0"/>
                <w:numId w:val="5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Судебная, арбитражная и административная практика по ФЗ-223. Примеры решения судов по различным спорам</w:t>
            </w:r>
          </w:p>
          <w:p w14:paraId="E1000000">
            <w:pPr>
              <w:pStyle w:val="Style_8"/>
              <w:widowControl w:val="1"/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Изменения в порядке обжалования закупок</w:t>
            </w:r>
            <w:r>
              <w:rPr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с  апреля</w:t>
            </w:r>
            <w:r>
              <w:rPr>
                <w:rFonts w:ascii="Circe" w:hAnsi="Circe"/>
                <w:b w:val="1"/>
                <w:sz w:val="23"/>
              </w:rPr>
              <w:t xml:space="preserve"> 2020 года</w:t>
            </w:r>
          </w:p>
          <w:p w14:paraId="E2000000">
            <w:pPr>
              <w:pStyle w:val="Style_8"/>
              <w:widowControl w:val="1"/>
              <w:numPr>
                <w:ilvl w:val="0"/>
                <w:numId w:val="6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Порядок рассмотрения жалоб в д</w:t>
            </w:r>
            <w:r>
              <w:rPr>
                <w:rFonts w:ascii="Circe" w:hAnsi="Circe"/>
                <w:sz w:val="23"/>
              </w:rPr>
              <w:t>истанционном формате</w:t>
            </w:r>
          </w:p>
          <w:p w14:paraId="E3000000">
            <w:pPr>
              <w:pStyle w:val="Style_8"/>
              <w:widowControl w:val="1"/>
              <w:numPr>
                <w:ilvl w:val="0"/>
                <w:numId w:val="6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Порядок принятия заявителем в дистанционном расс</w:t>
            </w:r>
            <w:r>
              <w:rPr>
                <w:rFonts w:ascii="Circe" w:hAnsi="Circe"/>
                <w:sz w:val="23"/>
              </w:rPr>
              <w:t xml:space="preserve">мотрении жалоб через портал ФАС. </w:t>
            </w:r>
            <w:r>
              <w:rPr>
                <w:rFonts w:ascii="Circe" w:hAnsi="Circe"/>
                <w:sz w:val="23"/>
              </w:rPr>
              <w:t xml:space="preserve">Сроки подачи и ответа по ходатайству </w:t>
            </w:r>
          </w:p>
          <w:p w14:paraId="E4000000">
            <w:pPr>
              <w:pStyle w:val="Style_8"/>
              <w:widowControl w:val="1"/>
              <w:numPr>
                <w:ilvl w:val="0"/>
                <w:numId w:val="6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Особенности проведения </w:t>
            </w:r>
            <w:r>
              <w:rPr>
                <w:rFonts w:ascii="Circe" w:hAnsi="Circe"/>
                <w:sz w:val="23"/>
              </w:rPr>
              <w:t>видеоконференц</w:t>
            </w:r>
            <w:r>
              <w:rPr>
                <w:rFonts w:ascii="Circe" w:hAnsi="Circe"/>
                <w:sz w:val="23"/>
              </w:rPr>
              <w:t>-связи (</w:t>
            </w:r>
            <w:r>
              <w:rPr>
                <w:rFonts w:ascii="Circe" w:hAnsi="Circe"/>
                <w:sz w:val="23"/>
              </w:rPr>
              <w:t>вкс</w:t>
            </w:r>
            <w:r>
              <w:rPr>
                <w:rFonts w:ascii="Circe" w:hAnsi="Circe"/>
                <w:sz w:val="23"/>
              </w:rPr>
              <w:t>). На что обратить внимание поставщику</w:t>
            </w:r>
          </w:p>
          <w:p w14:paraId="E5000000">
            <w:pPr>
              <w:pStyle w:val="Style_8"/>
              <w:widowControl w:val="1"/>
              <w:numPr>
                <w:ilvl w:val="0"/>
                <w:numId w:val="6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Специфика территориальных органов ФАС при проведении видеоконференц-связи</w:t>
            </w:r>
          </w:p>
          <w:p w14:paraId="E6000000">
            <w:pPr>
              <w:pStyle w:val="Style_8"/>
              <w:widowControl w:val="1"/>
              <w:numPr>
                <w:ilvl w:val="0"/>
                <w:numId w:val="6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Типичные ошибки поставщиков при участии в дистанционном рассмотрении жалоб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  <w:tcMar>
              <w:left w:type="dxa" w:w="40"/>
              <w:right w:type="dxa" w:w="40"/>
            </w:tcMar>
          </w:tcPr>
          <w:p w14:paraId="E700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17:</w:t>
            </w:r>
            <w:r>
              <w:rPr>
                <w:rStyle w:val="Style_11_ch"/>
                <w:rFonts w:ascii="Circe" w:hAnsi="Circe"/>
                <w:sz w:val="20"/>
              </w:rPr>
              <w:t>45-18</w:t>
            </w:r>
            <w:r>
              <w:rPr>
                <w:rStyle w:val="Style_11_ch"/>
                <w:rFonts w:ascii="Circe" w:hAnsi="Circe"/>
                <w:sz w:val="20"/>
              </w:rPr>
              <w:t>:</w:t>
            </w:r>
            <w:r>
              <w:rPr>
                <w:rStyle w:val="Style_11_ch"/>
                <w:rFonts w:ascii="Circe" w:hAnsi="Circe"/>
                <w:sz w:val="20"/>
              </w:rPr>
              <w:t>00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  <w:tcMar>
              <w:left w:type="dxa" w:w="40"/>
              <w:right w:type="dxa" w:w="40"/>
            </w:tcMar>
          </w:tcPr>
          <w:p w14:paraId="E8000000">
            <w:pPr>
              <w:pStyle w:val="Style_14"/>
              <w:widowControl w:val="1"/>
              <w:tabs>
                <w:tab w:leader="none" w:pos="385" w:val="left"/>
                <w:tab w:leader="none" w:pos="468" w:val="left"/>
              </w:tabs>
              <w:spacing w:line="240" w:lineRule="auto"/>
              <w:ind w:firstLine="0" w:left="0"/>
              <w:jc w:val="both"/>
              <w:rPr>
                <w:rStyle w:val="Style_12_ch"/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 xml:space="preserve">Окончание семинара. 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>Ответы на вопросы. Вручение сертификатов</w:t>
            </w:r>
          </w:p>
        </w:tc>
      </w:tr>
    </w:tbl>
    <w:p w14:paraId="E9000000"/>
    <w:sectPr>
      <w:pgSz w:h="11907" w:orient="landscape" w:w="16839"/>
      <w:pgMar w:bottom="284" w:footer="720" w:gutter="0" w:header="720" w:left="1134" w:right="284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"/>
      <w:lvlJc w:val="left"/>
      <w:pPr>
        <w:ind w:hanging="360" w:left="77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9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21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93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5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7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9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81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53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15" w:type="paragraph">
    <w:name w:val="toc 2"/>
    <w:next w:val="Style_5"/>
    <w:link w:val="Style_1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5_ch" w:type="character">
    <w:name w:val="toc 2"/>
    <w:link w:val="Style_15"/>
    <w:rPr>
      <w:rFonts w:ascii="XO Thames" w:hAnsi="XO Thames"/>
      <w:sz w:val="28"/>
    </w:rPr>
  </w:style>
  <w:style w:styleId="Style_2" w:type="paragraph">
    <w:name w:val="Font Style15"/>
    <w:link w:val="Style_2_ch"/>
    <w:rPr>
      <w:rFonts w:ascii="Times New Roman" w:hAnsi="Times New Roman"/>
      <w:b w:val="1"/>
      <w:sz w:val="22"/>
    </w:rPr>
  </w:style>
  <w:style w:styleId="Style_2_ch" w:type="character">
    <w:name w:val="Font Style15"/>
    <w:link w:val="Style_2"/>
    <w:rPr>
      <w:rFonts w:ascii="Times New Roman" w:hAnsi="Times New Roman"/>
      <w:b w:val="1"/>
      <w:sz w:val="22"/>
    </w:rPr>
  </w:style>
  <w:style w:styleId="Style_16" w:type="paragraph">
    <w:name w:val="toc 4"/>
    <w:next w:val="Style_5"/>
    <w:link w:val="Style_1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17" w:type="paragraph">
    <w:name w:val="toc 6"/>
    <w:next w:val="Style_5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5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Default"/>
    <w:link w:val="Style_20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20_ch" w:type="character">
    <w:name w:val="Default"/>
    <w:link w:val="Style_20"/>
    <w:rPr>
      <w:rFonts w:ascii="Times New Roman" w:hAnsi="Times New Roman"/>
      <w:color w:val="000000"/>
      <w:sz w:val="24"/>
    </w:rPr>
  </w:style>
  <w:style w:styleId="Style_21" w:type="paragraph">
    <w:name w:val="heading 3"/>
    <w:next w:val="Style_5"/>
    <w:link w:val="Style_2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1_ch" w:type="character">
    <w:name w:val="heading 3"/>
    <w:link w:val="Style_21"/>
    <w:rPr>
      <w:rFonts w:ascii="XO Thames" w:hAnsi="XO Thames"/>
      <w:b w:val="1"/>
      <w:sz w:val="26"/>
    </w:rPr>
  </w:style>
  <w:style w:styleId="Style_22" w:type="paragraph">
    <w:name w:val="Style8"/>
    <w:basedOn w:val="Style_5"/>
    <w:link w:val="Style_22_ch"/>
  </w:style>
  <w:style w:styleId="Style_22_ch" w:type="character">
    <w:name w:val="Style8"/>
    <w:basedOn w:val="Style_5_ch"/>
    <w:link w:val="Style_22"/>
  </w:style>
  <w:style w:styleId="Style_11" w:type="paragraph">
    <w:name w:val="Font Style18"/>
    <w:link w:val="Style_11_ch"/>
    <w:rPr>
      <w:rFonts w:ascii="Times New Roman" w:hAnsi="Times New Roman"/>
      <w:b w:val="1"/>
      <w:sz w:val="22"/>
    </w:rPr>
  </w:style>
  <w:style w:styleId="Style_11_ch" w:type="character">
    <w:name w:val="Font Style18"/>
    <w:link w:val="Style_11"/>
    <w:rPr>
      <w:rFonts w:ascii="Times New Roman" w:hAnsi="Times New Roman"/>
      <w:b w:val="1"/>
      <w:sz w:val="22"/>
    </w:rPr>
  </w:style>
  <w:style w:styleId="Style_23" w:type="paragraph">
    <w:name w:val="toc 3"/>
    <w:next w:val="Style_5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heading 5"/>
    <w:next w:val="Style_5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10" w:type="paragraph">
    <w:name w:val="Style11"/>
    <w:basedOn w:val="Style_5"/>
    <w:link w:val="Style_10_ch"/>
    <w:pPr>
      <w:spacing w:line="245" w:lineRule="exact"/>
      <w:ind/>
    </w:pPr>
  </w:style>
  <w:style w:styleId="Style_10_ch" w:type="character">
    <w:name w:val="Style11"/>
    <w:basedOn w:val="Style_5_ch"/>
    <w:link w:val="Style_10"/>
  </w:style>
  <w:style w:styleId="Style_25" w:type="paragraph">
    <w:name w:val="heading 1"/>
    <w:next w:val="Style_5"/>
    <w:link w:val="Style_2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5_ch" w:type="character">
    <w:name w:val="heading 1"/>
    <w:link w:val="Style_25"/>
    <w:rPr>
      <w:rFonts w:ascii="XO Thames" w:hAnsi="XO Thames"/>
      <w:b w:val="1"/>
      <w:sz w:val="32"/>
    </w:rPr>
  </w:style>
  <w:style w:styleId="Style_12" w:type="paragraph">
    <w:name w:val="Font Style19"/>
    <w:link w:val="Style_12_ch"/>
    <w:rPr>
      <w:rFonts w:ascii="Times New Roman" w:hAnsi="Times New Roman"/>
      <w:sz w:val="22"/>
    </w:rPr>
  </w:style>
  <w:style w:styleId="Style_12_ch" w:type="character">
    <w:name w:val="Font Style19"/>
    <w:link w:val="Style_12"/>
    <w:rPr>
      <w:rFonts w:ascii="Times New Roman" w:hAnsi="Times New Roman"/>
      <w:sz w:val="22"/>
    </w:rPr>
  </w:style>
  <w:style w:styleId="Style_7" w:type="paragraph">
    <w:name w:val="Hyperlink"/>
    <w:link w:val="Style_7_ch"/>
    <w:rPr>
      <w:color w:val="0000FF"/>
      <w:u w:val="single"/>
    </w:rPr>
  </w:style>
  <w:style w:styleId="Style_7_ch" w:type="character">
    <w:name w:val="Hyperlink"/>
    <w:link w:val="Style_7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5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toc 9"/>
    <w:next w:val="Style_5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Balloon Text"/>
    <w:basedOn w:val="Style_5"/>
    <w:link w:val="Style_30_ch"/>
    <w:rPr>
      <w:rFonts w:ascii="Tahoma" w:hAnsi="Tahoma"/>
      <w:sz w:val="16"/>
    </w:rPr>
  </w:style>
  <w:style w:styleId="Style_30_ch" w:type="character">
    <w:name w:val="Balloon Text"/>
    <w:basedOn w:val="Style_5_ch"/>
    <w:link w:val="Style_30"/>
    <w:rPr>
      <w:rFonts w:ascii="Tahoma" w:hAnsi="Tahoma"/>
      <w:sz w:val="16"/>
    </w:rPr>
  </w:style>
  <w:style w:styleId="Style_31" w:type="paragraph">
    <w:name w:val="toc 8"/>
    <w:next w:val="Style_5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8" w:type="paragraph">
    <w:name w:val="Style10"/>
    <w:basedOn w:val="Style_5"/>
    <w:link w:val="Style_8_ch"/>
    <w:pPr>
      <w:spacing w:line="252" w:lineRule="exact"/>
      <w:ind/>
    </w:pPr>
  </w:style>
  <w:style w:styleId="Style_8_ch" w:type="character">
    <w:name w:val="Style10"/>
    <w:basedOn w:val="Style_5_ch"/>
    <w:link w:val="Style_8"/>
  </w:style>
  <w:style w:styleId="Style_1" w:type="paragraph">
    <w:name w:val="Style1"/>
    <w:basedOn w:val="Style_5"/>
    <w:link w:val="Style_1_ch"/>
  </w:style>
  <w:style w:styleId="Style_1_ch" w:type="character">
    <w:name w:val="Style1"/>
    <w:basedOn w:val="Style_5_ch"/>
    <w:link w:val="Style_1"/>
  </w:style>
  <w:style w:styleId="Style_4" w:type="paragraph">
    <w:name w:val="Style5"/>
    <w:basedOn w:val="Style_5"/>
    <w:link w:val="Style_4_ch"/>
  </w:style>
  <w:style w:styleId="Style_4_ch" w:type="character">
    <w:name w:val="Style5"/>
    <w:basedOn w:val="Style_5_ch"/>
    <w:link w:val="Style_4"/>
  </w:style>
  <w:style w:styleId="Style_14" w:type="paragraph">
    <w:name w:val="Style4"/>
    <w:basedOn w:val="Style_5"/>
    <w:link w:val="Style_14_ch"/>
    <w:pPr>
      <w:spacing w:line="259" w:lineRule="exact"/>
      <w:ind w:hanging="360" w:left="360"/>
    </w:pPr>
  </w:style>
  <w:style w:styleId="Style_14_ch" w:type="character">
    <w:name w:val="Style4"/>
    <w:basedOn w:val="Style_5_ch"/>
    <w:link w:val="Style_14"/>
  </w:style>
  <w:style w:styleId="Style_3" w:type="paragraph">
    <w:name w:val="Normal (Web)"/>
    <w:basedOn w:val="Style_5"/>
    <w:link w:val="Style_3_ch"/>
    <w:pPr>
      <w:widowControl w:val="1"/>
      <w:spacing w:afterAutospacing="on" w:beforeAutospacing="on"/>
      <w:ind/>
    </w:pPr>
  </w:style>
  <w:style w:styleId="Style_3_ch" w:type="character">
    <w:name w:val="Normal (Web)"/>
    <w:basedOn w:val="Style_5_ch"/>
    <w:link w:val="Style_3"/>
  </w:style>
  <w:style w:styleId="Style_32" w:type="paragraph">
    <w:name w:val="b1"/>
    <w:link w:val="Style_32_ch"/>
  </w:style>
  <w:style w:styleId="Style_32_ch" w:type="character">
    <w:name w:val="b1"/>
    <w:link w:val="Style_32"/>
  </w:style>
  <w:style w:styleId="Style_33" w:type="paragraph">
    <w:name w:val="toc 5"/>
    <w:next w:val="Style_5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Subtitle"/>
    <w:next w:val="Style_5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5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5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next w:val="Style_5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13" w:type="paragraph">
    <w:name w:val="List Paragraph"/>
    <w:basedOn w:val="Style_5"/>
    <w:link w:val="Style_13_ch"/>
    <w:pPr>
      <w:widowControl w:val="1"/>
      <w:spacing w:after="120"/>
      <w:ind w:firstLine="567" w:left="720"/>
      <w:contextualSpacing w:val="1"/>
      <w:jc w:val="both"/>
    </w:pPr>
    <w:rPr>
      <w:rFonts w:ascii="Calibri" w:hAnsi="Calibri"/>
      <w:sz w:val="22"/>
    </w:rPr>
  </w:style>
  <w:style w:styleId="Style_13_ch" w:type="character">
    <w:name w:val="List Paragraph"/>
    <w:basedOn w:val="Style_5_ch"/>
    <w:link w:val="Style_13"/>
    <w:rPr>
      <w:rFonts w:ascii="Calibri" w:hAnsi="Calibri"/>
      <w:sz w:val="22"/>
    </w:rPr>
  </w:style>
  <w:style w:default="1" w:styleId="Style_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Table Grid"/>
    <w:basedOn w:val="Style_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2024-10-07T06:19:30Z</dcterms:modified>
</cp:coreProperties>
</file>